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583311">
      <w:pPr>
        <w:tabs>
          <w:tab w:val="left" w:pos="315"/>
          <w:tab w:val="left" w:pos="8820"/>
        </w:tabs>
        <w:spacing w:before="240" w:beforeLines="100" w:after="120" w:afterLines="50" w:line="500" w:lineRule="exact"/>
        <w:ind w:right="254" w:rightChars="127"/>
        <w:rPr>
          <w:b/>
          <w:bCs/>
          <w:sz w:val="52"/>
          <w:szCs w:val="52"/>
        </w:rPr>
      </w:pPr>
      <w:bookmarkStart w:id="0" w:name="_Hlk9544796"/>
    </w:p>
    <w:bookmarkEnd w:id="0"/>
    <w:p w14:paraId="39A54B9C">
      <w:pPr>
        <w:tabs>
          <w:tab w:val="left" w:pos="315"/>
          <w:tab w:val="left" w:pos="8820"/>
        </w:tabs>
        <w:spacing w:before="240" w:beforeLines="100" w:after="120" w:afterLines="50" w:line="500" w:lineRule="exact"/>
        <w:ind w:right="254" w:rightChars="127"/>
        <w:jc w:val="center"/>
        <w:rPr>
          <w:rFonts w:cs="宋体"/>
          <w:b/>
          <w:bCs/>
          <w:sz w:val="52"/>
          <w:szCs w:val="52"/>
        </w:rPr>
      </w:pPr>
      <w:r>
        <w:rPr>
          <w:rFonts w:hint="eastAsia" w:cs="宋体"/>
          <w:b/>
          <w:bCs/>
          <w:sz w:val="52"/>
          <w:szCs w:val="52"/>
          <w:lang w:val="en-US" w:eastAsia="zh-CN"/>
        </w:rPr>
        <w:t>服务</w:t>
      </w:r>
      <w:r>
        <w:rPr>
          <w:rFonts w:hint="eastAsia" w:cs="宋体"/>
          <w:b/>
          <w:bCs/>
          <w:sz w:val="52"/>
          <w:szCs w:val="52"/>
        </w:rPr>
        <w:t>类磋商文件</w:t>
      </w:r>
    </w:p>
    <w:p w14:paraId="4A85800A">
      <w:pPr>
        <w:tabs>
          <w:tab w:val="left" w:pos="315"/>
          <w:tab w:val="left" w:pos="8820"/>
        </w:tabs>
        <w:spacing w:before="240" w:beforeLines="100" w:after="120" w:afterLines="50" w:line="500" w:lineRule="exact"/>
        <w:ind w:right="254" w:rightChars="127"/>
        <w:jc w:val="center"/>
        <w:rPr>
          <w:rFonts w:cs="宋体"/>
          <w:bCs/>
          <w:sz w:val="44"/>
          <w:szCs w:val="44"/>
        </w:rPr>
      </w:pPr>
    </w:p>
    <w:p w14:paraId="5F1AFC42">
      <w:pPr>
        <w:tabs>
          <w:tab w:val="left" w:pos="315"/>
          <w:tab w:val="left" w:pos="8820"/>
        </w:tabs>
        <w:spacing w:before="240" w:beforeLines="100" w:after="120" w:afterLines="50" w:line="500" w:lineRule="exact"/>
        <w:ind w:right="254" w:rightChars="127"/>
        <w:jc w:val="center"/>
        <w:rPr>
          <w:rFonts w:cs="宋体"/>
          <w:bCs/>
          <w:sz w:val="44"/>
          <w:szCs w:val="44"/>
        </w:rPr>
      </w:pPr>
    </w:p>
    <w:p w14:paraId="617C921B">
      <w:pPr>
        <w:tabs>
          <w:tab w:val="left" w:pos="315"/>
          <w:tab w:val="left" w:pos="8820"/>
        </w:tabs>
        <w:spacing w:before="240" w:beforeLines="100" w:after="120" w:afterLines="50" w:line="500" w:lineRule="exact"/>
        <w:ind w:right="254" w:rightChars="127"/>
        <w:jc w:val="center"/>
        <w:rPr>
          <w:rFonts w:cs="宋体"/>
          <w:bCs/>
          <w:sz w:val="44"/>
          <w:szCs w:val="44"/>
        </w:rPr>
      </w:pPr>
      <w:r>
        <w:rPr>
          <w:rFonts w:hint="eastAsia" w:cs="宋体"/>
        </w:rPr>
        <w:drawing>
          <wp:anchor distT="0" distB="0" distL="114300" distR="114300" simplePos="0" relativeHeight="251659264" behindDoc="0" locked="0" layoutInCell="1" allowOverlap="1">
            <wp:simplePos x="0" y="0"/>
            <wp:positionH relativeFrom="column">
              <wp:posOffset>1651000</wp:posOffset>
            </wp:positionH>
            <wp:positionV relativeFrom="paragraph">
              <wp:posOffset>424180</wp:posOffset>
            </wp:positionV>
            <wp:extent cx="1733550" cy="1743075"/>
            <wp:effectExtent l="0" t="0" r="0" b="9525"/>
            <wp:wrapSquare wrapText="bothSides"/>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a:off x="0" y="0"/>
                      <a:ext cx="1733550" cy="1743075"/>
                    </a:xfrm>
                    <a:prstGeom prst="rect">
                      <a:avLst/>
                    </a:prstGeom>
                    <a:noFill/>
                    <a:ln>
                      <a:noFill/>
                    </a:ln>
                  </pic:spPr>
                </pic:pic>
              </a:graphicData>
            </a:graphic>
          </wp:anchor>
        </w:drawing>
      </w:r>
    </w:p>
    <w:p w14:paraId="537E8336">
      <w:pPr>
        <w:tabs>
          <w:tab w:val="left" w:pos="315"/>
          <w:tab w:val="left" w:pos="8820"/>
        </w:tabs>
        <w:spacing w:before="240" w:beforeLines="100" w:after="120" w:afterLines="50" w:line="500" w:lineRule="exact"/>
        <w:ind w:right="254" w:rightChars="127"/>
        <w:jc w:val="center"/>
        <w:rPr>
          <w:rFonts w:cs="宋体"/>
          <w:b/>
          <w:bCs/>
          <w:sz w:val="44"/>
          <w:szCs w:val="44"/>
        </w:rPr>
      </w:pPr>
    </w:p>
    <w:p w14:paraId="106AEB7C">
      <w:pPr>
        <w:tabs>
          <w:tab w:val="left" w:pos="315"/>
          <w:tab w:val="left" w:pos="8820"/>
        </w:tabs>
        <w:spacing w:before="240" w:beforeLines="100" w:after="120" w:afterLines="50" w:line="500" w:lineRule="exact"/>
        <w:ind w:right="254" w:rightChars="127"/>
        <w:jc w:val="center"/>
        <w:rPr>
          <w:rFonts w:cs="宋体"/>
          <w:b/>
          <w:bCs/>
          <w:sz w:val="44"/>
          <w:szCs w:val="44"/>
        </w:rPr>
      </w:pPr>
    </w:p>
    <w:p w14:paraId="5CBA44F8">
      <w:pPr>
        <w:tabs>
          <w:tab w:val="left" w:pos="315"/>
          <w:tab w:val="left" w:pos="8820"/>
        </w:tabs>
        <w:spacing w:before="240" w:beforeLines="100" w:after="120" w:afterLines="50" w:line="500" w:lineRule="exact"/>
        <w:ind w:right="254" w:rightChars="127"/>
        <w:jc w:val="center"/>
        <w:rPr>
          <w:rFonts w:cs="宋体"/>
          <w:b/>
          <w:bCs/>
          <w:sz w:val="44"/>
          <w:szCs w:val="44"/>
        </w:rPr>
      </w:pPr>
    </w:p>
    <w:p w14:paraId="7C9C8D83">
      <w:pPr>
        <w:tabs>
          <w:tab w:val="left" w:pos="315"/>
          <w:tab w:val="left" w:pos="8820"/>
        </w:tabs>
        <w:spacing w:before="240" w:beforeLines="100" w:after="120" w:afterLines="50" w:line="500" w:lineRule="exact"/>
        <w:ind w:right="254" w:rightChars="127"/>
        <w:rPr>
          <w:rFonts w:cs="宋体"/>
          <w:b/>
          <w:bCs/>
          <w:sz w:val="44"/>
          <w:szCs w:val="44"/>
        </w:rPr>
      </w:pPr>
    </w:p>
    <w:p w14:paraId="5DE5626F">
      <w:pPr>
        <w:tabs>
          <w:tab w:val="left" w:pos="315"/>
          <w:tab w:val="left" w:pos="8820"/>
        </w:tabs>
        <w:spacing w:before="240" w:beforeLines="100" w:after="120" w:afterLines="50" w:line="500" w:lineRule="exact"/>
        <w:ind w:right="254" w:rightChars="127"/>
        <w:rPr>
          <w:rFonts w:cs="宋体"/>
          <w:b/>
          <w:bCs/>
          <w:sz w:val="44"/>
          <w:szCs w:val="44"/>
        </w:rPr>
      </w:pPr>
    </w:p>
    <w:p w14:paraId="27BF27D7">
      <w:pPr>
        <w:tabs>
          <w:tab w:val="left" w:pos="315"/>
          <w:tab w:val="left" w:pos="8820"/>
        </w:tabs>
        <w:spacing w:before="240" w:beforeLines="100" w:after="120" w:afterLines="50" w:line="500" w:lineRule="exact"/>
        <w:ind w:right="254" w:rightChars="127"/>
        <w:rPr>
          <w:rFonts w:cs="宋体"/>
          <w:b/>
          <w:bCs/>
          <w:sz w:val="44"/>
          <w:szCs w:val="44"/>
        </w:rPr>
      </w:pPr>
    </w:p>
    <w:p w14:paraId="3058E2FB">
      <w:pPr>
        <w:tabs>
          <w:tab w:val="left" w:pos="2410"/>
        </w:tabs>
        <w:autoSpaceDE w:val="0"/>
        <w:autoSpaceDN w:val="0"/>
        <w:adjustRightInd w:val="0"/>
        <w:snapToGrid w:val="0"/>
        <w:spacing w:line="360" w:lineRule="auto"/>
        <w:ind w:left="1806" w:leftChars="0" w:hanging="1806" w:hangingChars="500"/>
        <w:rPr>
          <w:rFonts w:hint="eastAsia" w:eastAsia="宋体" w:cs="宋体"/>
          <w:b/>
          <w:spacing w:val="20"/>
          <w:sz w:val="32"/>
          <w:szCs w:val="32"/>
          <w:u w:val="single"/>
          <w:lang w:eastAsia="zh-CN"/>
        </w:rPr>
      </w:pPr>
      <w:r>
        <w:rPr>
          <w:rFonts w:hint="eastAsia" w:cs="宋体"/>
          <w:b/>
          <w:spacing w:val="20"/>
          <w:sz w:val="32"/>
          <w:szCs w:val="32"/>
        </w:rPr>
        <w:t>项目名称：</w:t>
      </w:r>
      <w:r>
        <w:rPr>
          <w:rFonts w:hint="eastAsia" w:cs="宋体"/>
          <w:b/>
          <w:spacing w:val="23"/>
          <w:w w:val="100"/>
          <w:sz w:val="32"/>
          <w:szCs w:val="32"/>
          <w:u w:val="single"/>
          <w:lang w:eastAsia="zh-CN"/>
        </w:rPr>
        <w:t>肥西县住建局2025-2026年度勘察设计咨询服务单位[二次]</w:t>
      </w:r>
    </w:p>
    <w:p w14:paraId="0BC746FE">
      <w:pPr>
        <w:tabs>
          <w:tab w:val="left" w:pos="2410"/>
        </w:tabs>
        <w:autoSpaceDE w:val="0"/>
        <w:autoSpaceDN w:val="0"/>
        <w:adjustRightInd w:val="0"/>
        <w:snapToGrid w:val="0"/>
        <w:spacing w:line="360" w:lineRule="auto"/>
        <w:ind w:left="0" w:leftChars="0" w:firstLine="0" w:firstLineChars="0"/>
        <w:rPr>
          <w:rFonts w:hint="default" w:eastAsia="宋体" w:cs="宋体"/>
          <w:b/>
          <w:spacing w:val="20"/>
          <w:sz w:val="32"/>
          <w:szCs w:val="32"/>
          <w:lang w:val="en-US" w:eastAsia="zh-CN"/>
        </w:rPr>
      </w:pPr>
      <w:r>
        <w:rPr>
          <w:rFonts w:hint="eastAsia" w:cs="宋体"/>
          <w:b/>
          <w:spacing w:val="20"/>
          <w:sz w:val="32"/>
          <w:szCs w:val="32"/>
        </w:rPr>
        <w:t>项目编号：</w:t>
      </w:r>
      <w:r>
        <w:rPr>
          <w:rFonts w:hint="eastAsia" w:cs="宋体"/>
          <w:b/>
          <w:spacing w:val="20"/>
          <w:sz w:val="32"/>
          <w:szCs w:val="32"/>
          <w:u w:val="single"/>
          <w:lang w:val="en-US" w:eastAsia="zh-CN"/>
        </w:rPr>
        <w:t>2025PHBN418</w:t>
      </w:r>
    </w:p>
    <w:p w14:paraId="30BB1DA2">
      <w:pPr>
        <w:tabs>
          <w:tab w:val="left" w:pos="2410"/>
        </w:tabs>
        <w:autoSpaceDE w:val="0"/>
        <w:autoSpaceDN w:val="0"/>
        <w:adjustRightInd w:val="0"/>
        <w:snapToGrid w:val="0"/>
        <w:spacing w:line="360" w:lineRule="auto"/>
        <w:ind w:left="0" w:leftChars="0" w:firstLine="0" w:firstLineChars="0"/>
        <w:rPr>
          <w:rFonts w:hint="eastAsia" w:cs="宋体"/>
          <w:b/>
          <w:spacing w:val="20"/>
          <w:sz w:val="32"/>
          <w:szCs w:val="32"/>
          <w:u w:val="single"/>
          <w:lang w:eastAsia="zh-CN"/>
        </w:rPr>
      </w:pPr>
      <w:r>
        <w:rPr>
          <w:rFonts w:cs="宋体"/>
          <w:b/>
          <w:spacing w:val="20"/>
          <w:sz w:val="32"/>
          <w:szCs w:val="32"/>
        </w:rPr>
        <w:t>业主单位</w:t>
      </w:r>
      <w:r>
        <w:rPr>
          <w:rFonts w:hint="eastAsia" w:cs="宋体"/>
          <w:b/>
          <w:spacing w:val="20"/>
          <w:sz w:val="32"/>
          <w:szCs w:val="32"/>
        </w:rPr>
        <w:t>：</w:t>
      </w:r>
      <w:r>
        <w:rPr>
          <w:rFonts w:hint="eastAsia" w:cs="宋体"/>
          <w:b/>
          <w:spacing w:val="20"/>
          <w:sz w:val="32"/>
          <w:szCs w:val="32"/>
          <w:u w:val="single"/>
          <w:lang w:eastAsia="zh-CN"/>
        </w:rPr>
        <w:t>肥西县住房和城乡建设局</w:t>
      </w:r>
    </w:p>
    <w:p w14:paraId="4370AE4D">
      <w:pPr>
        <w:tabs>
          <w:tab w:val="left" w:pos="2410"/>
        </w:tabs>
        <w:autoSpaceDE w:val="0"/>
        <w:autoSpaceDN w:val="0"/>
        <w:adjustRightInd w:val="0"/>
        <w:snapToGrid w:val="0"/>
        <w:spacing w:line="360" w:lineRule="auto"/>
        <w:ind w:left="0" w:leftChars="0" w:firstLine="0" w:firstLineChars="0"/>
        <w:rPr>
          <w:rFonts w:hint="eastAsia" w:eastAsia="宋体" w:cs="宋体"/>
          <w:b/>
          <w:spacing w:val="20"/>
          <w:sz w:val="32"/>
          <w:szCs w:val="32"/>
          <w:lang w:eastAsia="zh-CN"/>
        </w:rPr>
      </w:pPr>
      <w:r>
        <w:rPr>
          <w:rFonts w:hint="eastAsia" w:cs="宋体"/>
          <w:b/>
          <w:color w:val="auto"/>
          <w:spacing w:val="20"/>
          <w:sz w:val="32"/>
          <w:szCs w:val="32"/>
          <w:highlight w:val="none"/>
        </w:rPr>
        <w:t>代理机构：</w:t>
      </w:r>
      <w:r>
        <w:rPr>
          <w:rFonts w:hint="eastAsia" w:cs="宋体"/>
          <w:b/>
          <w:color w:val="auto"/>
          <w:spacing w:val="20"/>
          <w:sz w:val="32"/>
          <w:szCs w:val="32"/>
          <w:highlight w:val="none"/>
          <w:u w:val="single"/>
          <w:lang w:eastAsia="zh-CN"/>
        </w:rPr>
        <w:t>肥西县派合商务服务有限公司</w:t>
      </w:r>
    </w:p>
    <w:p w14:paraId="1487E590">
      <w:pPr>
        <w:tabs>
          <w:tab w:val="left" w:pos="2410"/>
        </w:tabs>
        <w:autoSpaceDE w:val="0"/>
        <w:autoSpaceDN w:val="0"/>
        <w:adjustRightInd w:val="0"/>
        <w:snapToGrid w:val="0"/>
        <w:spacing w:line="360" w:lineRule="auto"/>
        <w:ind w:left="0" w:leftChars="0" w:firstLine="3253" w:firstLineChars="900"/>
        <w:rPr>
          <w:rFonts w:hint="eastAsia" w:cs="宋体"/>
          <w:b/>
          <w:sz w:val="36"/>
          <w:u w:val="single"/>
        </w:rPr>
      </w:pPr>
    </w:p>
    <w:p w14:paraId="5AAD42AF">
      <w:pPr>
        <w:tabs>
          <w:tab w:val="left" w:pos="2410"/>
        </w:tabs>
        <w:autoSpaceDE w:val="0"/>
        <w:autoSpaceDN w:val="0"/>
        <w:adjustRightInd w:val="0"/>
        <w:snapToGrid w:val="0"/>
        <w:spacing w:line="360" w:lineRule="auto"/>
        <w:ind w:left="0" w:leftChars="0" w:firstLine="3253" w:firstLineChars="900"/>
        <w:rPr>
          <w:rFonts w:cs="宋体"/>
          <w:b/>
          <w:sz w:val="36"/>
        </w:rPr>
      </w:pPr>
      <w:r>
        <w:rPr>
          <w:rFonts w:hint="eastAsia" w:cs="宋体"/>
          <w:b/>
          <w:sz w:val="36"/>
          <w:u w:val="single"/>
        </w:rPr>
        <w:t>202</w:t>
      </w:r>
      <w:r>
        <w:rPr>
          <w:rFonts w:hint="eastAsia" w:cs="宋体"/>
          <w:b/>
          <w:sz w:val="36"/>
          <w:u w:val="single"/>
          <w:lang w:val="en-US" w:eastAsia="zh-CN"/>
        </w:rPr>
        <w:t>5</w:t>
      </w:r>
      <w:r>
        <w:rPr>
          <w:rFonts w:hint="eastAsia" w:cs="宋体"/>
          <w:b/>
          <w:sz w:val="36"/>
        </w:rPr>
        <w:t>年</w:t>
      </w:r>
      <w:r>
        <w:rPr>
          <w:rFonts w:hint="eastAsia" w:cs="宋体"/>
          <w:b/>
          <w:sz w:val="36"/>
          <w:u w:val="single"/>
          <w:lang w:val="en-US" w:eastAsia="zh-CN"/>
        </w:rPr>
        <w:t>09</w:t>
      </w:r>
      <w:r>
        <w:rPr>
          <w:rFonts w:hint="eastAsia" w:cs="宋体"/>
          <w:b/>
          <w:sz w:val="36"/>
        </w:rPr>
        <w:t>月</w:t>
      </w:r>
    </w:p>
    <w:p w14:paraId="745BFA23">
      <w:pPr>
        <w:tabs>
          <w:tab w:val="left" w:pos="2410"/>
        </w:tabs>
        <w:autoSpaceDE w:val="0"/>
        <w:autoSpaceDN w:val="0"/>
        <w:adjustRightInd w:val="0"/>
        <w:snapToGrid w:val="0"/>
        <w:spacing w:line="360" w:lineRule="auto"/>
        <w:jc w:val="center"/>
        <w:rPr>
          <w:rFonts w:cs="宋体"/>
          <w:b/>
          <w:sz w:val="24"/>
          <w:szCs w:val="24"/>
        </w:rPr>
      </w:pPr>
      <w:r>
        <w:rPr>
          <w:b/>
          <w:sz w:val="36"/>
        </w:rPr>
        <w:br w:type="page"/>
      </w:r>
      <w:r>
        <w:rPr>
          <w:rFonts w:hint="eastAsia" w:cs="宋体"/>
          <w:b/>
          <w:sz w:val="24"/>
          <w:szCs w:val="24"/>
        </w:rPr>
        <w:t>目  录</w:t>
      </w:r>
    </w:p>
    <w:p w14:paraId="31CB2EB6">
      <w:pPr>
        <w:pStyle w:val="14"/>
        <w:tabs>
          <w:tab w:val="right" w:leader="dot" w:pos="8279"/>
        </w:tabs>
      </w:pPr>
      <w:r>
        <w:rPr>
          <w:rFonts w:hint="eastAsia" w:ascii="黑体" w:hAnsi="黑体" w:eastAsia="黑体" w:cs="黑体"/>
          <w:b/>
          <w:bCs/>
          <w:sz w:val="24"/>
          <w:szCs w:val="24"/>
        </w:rPr>
        <w:fldChar w:fldCharType="begin"/>
      </w:r>
      <w:r>
        <w:rPr>
          <w:rFonts w:hint="eastAsia" w:ascii="黑体" w:hAnsi="黑体" w:eastAsia="黑体" w:cs="黑体"/>
          <w:b/>
          <w:bCs/>
          <w:sz w:val="24"/>
          <w:szCs w:val="24"/>
        </w:rPr>
        <w:instrText xml:space="preserve"> TOC \o "1-2" \h \z \u </w:instrText>
      </w:r>
      <w:r>
        <w:rPr>
          <w:rFonts w:hint="eastAsia" w:ascii="黑体" w:hAnsi="黑体" w:eastAsia="黑体" w:cs="黑体"/>
          <w:b/>
          <w:bCs/>
          <w:sz w:val="24"/>
          <w:szCs w:val="24"/>
        </w:rPr>
        <w:fldChar w:fldCharType="separate"/>
      </w:r>
      <w:r>
        <w:fldChar w:fldCharType="begin"/>
      </w:r>
      <w:r>
        <w:instrText xml:space="preserve"> HYPERLINK \l "_Toc1170" </w:instrText>
      </w:r>
      <w:r>
        <w:fldChar w:fldCharType="separate"/>
      </w:r>
      <w:r>
        <w:rPr>
          <w:rFonts w:hint="eastAsia"/>
        </w:rPr>
        <w:t xml:space="preserve">第一章 </w:t>
      </w:r>
      <w:r>
        <w:t xml:space="preserve"> </w:t>
      </w:r>
      <w:r>
        <w:rPr>
          <w:rFonts w:hint="eastAsia"/>
        </w:rPr>
        <w:t>磋商邀请</w:t>
      </w:r>
      <w:r>
        <w:tab/>
      </w:r>
      <w:r>
        <w:fldChar w:fldCharType="begin"/>
      </w:r>
      <w:r>
        <w:instrText xml:space="preserve"> PAGEREF _Toc1170 \h </w:instrText>
      </w:r>
      <w:r>
        <w:fldChar w:fldCharType="separate"/>
      </w:r>
      <w:r>
        <w:t>1</w:t>
      </w:r>
      <w:r>
        <w:fldChar w:fldCharType="end"/>
      </w:r>
      <w:r>
        <w:fldChar w:fldCharType="end"/>
      </w:r>
    </w:p>
    <w:p w14:paraId="24A205A0">
      <w:pPr>
        <w:pStyle w:val="14"/>
        <w:tabs>
          <w:tab w:val="right" w:leader="dot" w:pos="8279"/>
        </w:tabs>
      </w:pPr>
      <w:r>
        <w:fldChar w:fldCharType="begin"/>
      </w:r>
      <w:r>
        <w:instrText xml:space="preserve"> HYPERLINK \l "_Toc6374" </w:instrText>
      </w:r>
      <w:r>
        <w:fldChar w:fldCharType="separate"/>
      </w:r>
      <w:r>
        <w:rPr>
          <w:rFonts w:hint="eastAsia"/>
        </w:rPr>
        <w:t>第二章</w:t>
      </w:r>
      <w:r>
        <w:t xml:space="preserve"> </w:t>
      </w:r>
      <w:r>
        <w:rPr>
          <w:rFonts w:hint="eastAsia"/>
        </w:rPr>
        <w:t xml:space="preserve"> 供应商</w:t>
      </w:r>
      <w:r>
        <w:t>须知</w:t>
      </w:r>
      <w:r>
        <w:tab/>
      </w:r>
      <w:r>
        <w:fldChar w:fldCharType="begin"/>
      </w:r>
      <w:r>
        <w:instrText xml:space="preserve"> PAGEREF _Toc6374 \h </w:instrText>
      </w:r>
      <w:r>
        <w:fldChar w:fldCharType="separate"/>
      </w:r>
      <w:r>
        <w:t>4</w:t>
      </w:r>
      <w:r>
        <w:fldChar w:fldCharType="end"/>
      </w:r>
      <w:r>
        <w:fldChar w:fldCharType="end"/>
      </w:r>
    </w:p>
    <w:p w14:paraId="7EB74F13">
      <w:pPr>
        <w:pStyle w:val="14"/>
        <w:tabs>
          <w:tab w:val="right" w:leader="dot" w:pos="8279"/>
        </w:tabs>
        <w:rPr>
          <w:rFonts w:hint="default" w:eastAsia="宋体"/>
          <w:lang w:val="en-US" w:eastAsia="zh-CN"/>
        </w:rPr>
      </w:pPr>
      <w:r>
        <w:fldChar w:fldCharType="begin"/>
      </w:r>
      <w:r>
        <w:instrText xml:space="preserve"> HYPERLINK \l "_Toc1535" </w:instrText>
      </w:r>
      <w:r>
        <w:fldChar w:fldCharType="separate"/>
      </w:r>
      <w:r>
        <w:rPr>
          <w:rFonts w:hint="eastAsia"/>
        </w:rPr>
        <w:t>第三章  项目需求</w:t>
      </w:r>
      <w:r>
        <w:tab/>
      </w:r>
      <w:r>
        <w:fldChar w:fldCharType="end"/>
      </w:r>
      <w:r>
        <w:rPr>
          <w:rFonts w:hint="eastAsia"/>
          <w:lang w:val="en-US" w:eastAsia="zh-CN"/>
        </w:rPr>
        <w:t>20</w:t>
      </w:r>
    </w:p>
    <w:p w14:paraId="6FD1B776">
      <w:pPr>
        <w:pStyle w:val="14"/>
        <w:tabs>
          <w:tab w:val="right" w:leader="dot" w:pos="8279"/>
        </w:tabs>
        <w:rPr>
          <w:rFonts w:hint="default" w:eastAsia="宋体"/>
          <w:lang w:val="en-US" w:eastAsia="zh-CN"/>
        </w:rPr>
      </w:pPr>
      <w:r>
        <w:fldChar w:fldCharType="begin"/>
      </w:r>
      <w:r>
        <w:instrText xml:space="preserve"> HYPERLINK \l "_Toc1626" </w:instrText>
      </w:r>
      <w:r>
        <w:fldChar w:fldCharType="separate"/>
      </w:r>
      <w:r>
        <w:rPr>
          <w:rFonts w:hint="eastAsia"/>
        </w:rPr>
        <w:t>第四章  评审方法和标准</w:t>
      </w:r>
      <w:r>
        <w:tab/>
      </w:r>
      <w:r>
        <w:fldChar w:fldCharType="end"/>
      </w:r>
      <w:r>
        <w:rPr>
          <w:rFonts w:hint="eastAsia"/>
          <w:lang w:val="en-US" w:eastAsia="zh-CN"/>
        </w:rPr>
        <w:t>33</w:t>
      </w:r>
    </w:p>
    <w:p w14:paraId="47806AE0">
      <w:pPr>
        <w:pStyle w:val="14"/>
        <w:tabs>
          <w:tab w:val="right" w:leader="dot" w:pos="8279"/>
        </w:tabs>
      </w:pPr>
      <w:r>
        <w:fldChar w:fldCharType="begin"/>
      </w:r>
      <w:r>
        <w:instrText xml:space="preserve"> HYPERLINK \l "_Toc14165" </w:instrText>
      </w:r>
      <w:r>
        <w:fldChar w:fldCharType="separate"/>
      </w:r>
      <w:r>
        <w:rPr>
          <w:rFonts w:hint="eastAsia"/>
        </w:rPr>
        <w:t>第五章  合同条款及格式</w:t>
      </w:r>
      <w:r>
        <w:tab/>
      </w:r>
      <w:r>
        <w:fldChar w:fldCharType="begin"/>
      </w:r>
      <w:r>
        <w:instrText xml:space="preserve"> PAGEREF _Toc14165 \h </w:instrText>
      </w:r>
      <w:r>
        <w:fldChar w:fldCharType="separate"/>
      </w:r>
      <w:r>
        <w:t>46</w:t>
      </w:r>
      <w:r>
        <w:fldChar w:fldCharType="end"/>
      </w:r>
      <w:r>
        <w:fldChar w:fldCharType="end"/>
      </w:r>
    </w:p>
    <w:p w14:paraId="26C1BA1A">
      <w:pPr>
        <w:pStyle w:val="14"/>
        <w:tabs>
          <w:tab w:val="right" w:leader="dot" w:pos="8279"/>
        </w:tabs>
      </w:pPr>
      <w:r>
        <w:fldChar w:fldCharType="begin"/>
      </w:r>
      <w:r>
        <w:instrText xml:space="preserve"> HYPERLINK \l "_Toc17979" </w:instrText>
      </w:r>
      <w:r>
        <w:fldChar w:fldCharType="separate"/>
      </w:r>
      <w:r>
        <w:rPr>
          <w:rFonts w:hint="eastAsia"/>
        </w:rPr>
        <w:t>第六章  响应文件格式</w:t>
      </w:r>
      <w:r>
        <w:tab/>
      </w:r>
      <w:r>
        <w:fldChar w:fldCharType="begin"/>
      </w:r>
      <w:r>
        <w:instrText xml:space="preserve"> PAGEREF _Toc17979 \h </w:instrText>
      </w:r>
      <w:r>
        <w:fldChar w:fldCharType="separate"/>
      </w:r>
      <w:r>
        <w:t>47</w:t>
      </w:r>
      <w:r>
        <w:fldChar w:fldCharType="end"/>
      </w:r>
      <w:r>
        <w:fldChar w:fldCharType="end"/>
      </w:r>
    </w:p>
    <w:p w14:paraId="059DE4BD">
      <w:pPr>
        <w:pStyle w:val="17"/>
        <w:tabs>
          <w:tab w:val="right" w:leader="dot" w:pos="8296"/>
        </w:tabs>
        <w:spacing w:after="0" w:line="360" w:lineRule="auto"/>
        <w:ind w:left="0"/>
        <w:rPr>
          <w:rFonts w:ascii="宋体" w:hAnsi="宋体"/>
          <w:b/>
          <w:sz w:val="32"/>
        </w:rPr>
      </w:pPr>
      <w:r>
        <w:rPr>
          <w:rFonts w:hint="eastAsia" w:ascii="黑体" w:hAnsi="黑体" w:eastAsia="黑体" w:cs="黑体"/>
          <w:bCs/>
          <w:szCs w:val="24"/>
        </w:rPr>
        <w:fldChar w:fldCharType="end"/>
      </w:r>
    </w:p>
    <w:p w14:paraId="27AE39A6">
      <w:pPr>
        <w:spacing w:line="360" w:lineRule="auto"/>
        <w:jc w:val="center"/>
        <w:outlineLvl w:val="1"/>
        <w:rPr>
          <w:b/>
          <w:sz w:val="28"/>
        </w:rPr>
        <w:sectPr>
          <w:headerReference r:id="rId5" w:type="default"/>
          <w:footerReference r:id="rId6" w:type="default"/>
          <w:pgSz w:w="11907" w:h="16840"/>
          <w:pgMar w:top="1474" w:right="1814" w:bottom="1474" w:left="1814" w:header="851" w:footer="992" w:gutter="0"/>
          <w:cols w:space="720" w:num="1"/>
          <w:docGrid w:linePitch="462" w:charSpace="0"/>
        </w:sectPr>
      </w:pPr>
    </w:p>
    <w:p w14:paraId="102E1711">
      <w:pPr>
        <w:spacing w:line="360" w:lineRule="auto"/>
        <w:jc w:val="center"/>
        <w:outlineLvl w:val="0"/>
        <w:rPr>
          <w:b/>
          <w:sz w:val="28"/>
        </w:rPr>
      </w:pPr>
      <w:bookmarkStart w:id="1" w:name="_Toc1170"/>
      <w:r>
        <w:rPr>
          <w:rFonts w:hint="eastAsia"/>
          <w:b/>
          <w:sz w:val="28"/>
        </w:rPr>
        <w:t xml:space="preserve">第一章 </w:t>
      </w:r>
      <w:r>
        <w:rPr>
          <w:b/>
          <w:sz w:val="28"/>
        </w:rPr>
        <w:t xml:space="preserve"> </w:t>
      </w:r>
      <w:r>
        <w:rPr>
          <w:rFonts w:hint="eastAsia"/>
          <w:b/>
          <w:sz w:val="28"/>
        </w:rPr>
        <w:t>磋商邀请</w:t>
      </w:r>
      <w:bookmarkEnd w:id="1"/>
    </w:p>
    <w:p w14:paraId="20A30C55">
      <w:pPr>
        <w:spacing w:line="360" w:lineRule="auto"/>
        <w:ind w:firstLine="435"/>
        <w:outlineLvl w:val="1"/>
        <w:rPr>
          <w:b/>
          <w:bCs/>
          <w:sz w:val="24"/>
          <w:szCs w:val="18"/>
        </w:rPr>
      </w:pPr>
      <w:bookmarkStart w:id="2" w:name="_Toc27196"/>
      <w:bookmarkStart w:id="3" w:name="_Toc4269"/>
      <w:bookmarkStart w:id="4" w:name="_Toc5496"/>
      <w:bookmarkStart w:id="5" w:name="_Toc11391"/>
      <w:bookmarkStart w:id="6" w:name="OLE_LINK4"/>
      <w:r>
        <w:rPr>
          <w:rFonts w:hint="eastAsia"/>
          <w:b/>
          <w:bCs/>
          <w:sz w:val="24"/>
          <w:szCs w:val="18"/>
        </w:rPr>
        <w:t>一、项目名称及内容</w:t>
      </w:r>
      <w:bookmarkEnd w:id="2"/>
      <w:bookmarkEnd w:id="3"/>
      <w:bookmarkEnd w:id="4"/>
      <w:bookmarkEnd w:id="5"/>
    </w:p>
    <w:p w14:paraId="7412E17B">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1.项目编号：</w:t>
      </w:r>
      <w:r>
        <w:rPr>
          <w:rFonts w:hint="eastAsia"/>
          <w:sz w:val="24"/>
          <w:szCs w:val="18"/>
          <w:lang w:eastAsia="zh-CN"/>
        </w:rPr>
        <w:t>2025PHBN418</w:t>
      </w:r>
    </w:p>
    <w:p w14:paraId="08C292FC">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2.项目名称：</w:t>
      </w:r>
      <w:r>
        <w:rPr>
          <w:rFonts w:hint="eastAsia"/>
          <w:sz w:val="24"/>
          <w:szCs w:val="18"/>
          <w:lang w:eastAsia="zh-CN"/>
        </w:rPr>
        <w:t>肥西县住建局2025-2026年度勘察设计咨询服务单位[二次]</w:t>
      </w:r>
    </w:p>
    <w:p w14:paraId="2D79035B">
      <w:pPr>
        <w:autoSpaceDE w:val="0"/>
        <w:autoSpaceDN w:val="0"/>
        <w:adjustRightInd w:val="0"/>
        <w:spacing w:line="360" w:lineRule="auto"/>
        <w:ind w:firstLine="436" w:firstLineChars="182"/>
        <w:jc w:val="left"/>
        <w:rPr>
          <w:rFonts w:hint="eastAsia" w:eastAsia="宋体"/>
          <w:sz w:val="24"/>
          <w:szCs w:val="18"/>
          <w:lang w:val="en-US" w:eastAsia="zh-CN"/>
        </w:rPr>
      </w:pPr>
      <w:r>
        <w:rPr>
          <w:rFonts w:hint="eastAsia"/>
          <w:sz w:val="24"/>
          <w:szCs w:val="18"/>
        </w:rPr>
        <w:t>3.项目地点：肥西县</w:t>
      </w:r>
    </w:p>
    <w:p w14:paraId="60879C0D">
      <w:pPr>
        <w:autoSpaceDE w:val="0"/>
        <w:autoSpaceDN w:val="0"/>
        <w:adjustRightInd w:val="0"/>
        <w:spacing w:line="360" w:lineRule="auto"/>
        <w:ind w:firstLine="436" w:firstLineChars="182"/>
        <w:jc w:val="left"/>
        <w:rPr>
          <w:rFonts w:hint="eastAsia" w:eastAsia="宋体"/>
          <w:sz w:val="24"/>
          <w:szCs w:val="18"/>
          <w:lang w:eastAsia="zh-CN"/>
        </w:rPr>
      </w:pPr>
      <w:r>
        <w:rPr>
          <w:rFonts w:hint="eastAsia"/>
          <w:sz w:val="24"/>
          <w:szCs w:val="18"/>
        </w:rPr>
        <w:t>4.项目单位：</w:t>
      </w:r>
      <w:r>
        <w:rPr>
          <w:rFonts w:hint="eastAsia"/>
          <w:sz w:val="24"/>
          <w:szCs w:val="18"/>
          <w:lang w:eastAsia="zh-CN"/>
        </w:rPr>
        <w:t>肥西县住房和城乡建设局</w:t>
      </w:r>
    </w:p>
    <w:p w14:paraId="52019C4E">
      <w:pPr>
        <w:autoSpaceDE w:val="0"/>
        <w:autoSpaceDN w:val="0"/>
        <w:adjustRightInd w:val="0"/>
        <w:spacing w:line="360" w:lineRule="auto"/>
        <w:ind w:firstLine="436" w:firstLineChars="182"/>
        <w:jc w:val="left"/>
        <w:rPr>
          <w:rFonts w:hint="default" w:eastAsia="宋体"/>
          <w:b w:val="0"/>
          <w:bCs w:val="0"/>
          <w:sz w:val="24"/>
          <w:szCs w:val="18"/>
          <w:lang w:val="en-US" w:eastAsia="zh-CN"/>
        </w:rPr>
      </w:pPr>
      <w:r>
        <w:rPr>
          <w:rFonts w:hint="eastAsia"/>
          <w:b w:val="0"/>
          <w:bCs w:val="0"/>
          <w:sz w:val="24"/>
          <w:szCs w:val="18"/>
        </w:rPr>
        <w:t>5.项目概况：</w:t>
      </w:r>
      <w:r>
        <w:rPr>
          <w:rFonts w:hint="eastAsia"/>
          <w:b w:val="0"/>
          <w:bCs w:val="0"/>
          <w:sz w:val="24"/>
          <w:highlight w:val="none"/>
        </w:rPr>
        <w:t>本项目分三个包，拟对应采购三家服务单位，分别提供方案审查类服务、勘察设计类和咨询类等服务。具体包括：（1）第1包方案审查类：排水设计方案技术咨询审查</w:t>
      </w:r>
      <w:r>
        <w:rPr>
          <w:rFonts w:hint="eastAsia"/>
          <w:b w:val="0"/>
          <w:bCs w:val="0"/>
          <w:sz w:val="24"/>
          <w:highlight w:val="none"/>
          <w:lang w:eastAsia="zh-CN"/>
        </w:rPr>
        <w:t>、因工程建设需要拆除、改动排水与污水处理设施审查，</w:t>
      </w:r>
      <w:r>
        <w:rPr>
          <w:rFonts w:hint="eastAsia"/>
          <w:b w:val="0"/>
          <w:bCs w:val="0"/>
          <w:sz w:val="24"/>
          <w:highlight w:val="none"/>
        </w:rPr>
        <w:t>管线综合方案技术咨询审查</w:t>
      </w:r>
      <w:r>
        <w:rPr>
          <w:rFonts w:hint="eastAsia"/>
          <w:b w:val="0"/>
          <w:bCs w:val="0"/>
          <w:sz w:val="24"/>
          <w:highlight w:val="none"/>
          <w:lang w:eastAsia="zh-CN"/>
        </w:rPr>
        <w:t>，</w:t>
      </w:r>
      <w:r>
        <w:rPr>
          <w:rFonts w:hint="eastAsia"/>
          <w:b w:val="0"/>
          <w:bCs w:val="0"/>
          <w:sz w:val="24"/>
          <w:highlight w:val="none"/>
        </w:rPr>
        <w:t>消防总平图技术咨询审查等，具体以采购人要求为准。</w:t>
      </w:r>
      <w:r>
        <w:rPr>
          <w:rFonts w:hint="eastAsia"/>
          <w:b/>
          <w:bCs/>
          <w:sz w:val="24"/>
          <w:highlight w:val="none"/>
          <w:lang w:val="en-US" w:eastAsia="zh-CN"/>
        </w:rPr>
        <w:t>本次磋商为第一包。</w:t>
      </w:r>
    </w:p>
    <w:p w14:paraId="2471D24C">
      <w:pPr>
        <w:autoSpaceDE w:val="0"/>
        <w:autoSpaceDN w:val="0"/>
        <w:adjustRightInd w:val="0"/>
        <w:spacing w:line="360" w:lineRule="auto"/>
        <w:ind w:firstLine="436" w:firstLineChars="182"/>
        <w:jc w:val="left"/>
        <w:rPr>
          <w:rFonts w:hint="eastAsia" w:eastAsia="宋体"/>
          <w:highlight w:val="none"/>
          <w:lang w:eastAsia="zh-CN"/>
        </w:rPr>
      </w:pPr>
      <w:r>
        <w:rPr>
          <w:rFonts w:hint="eastAsia"/>
          <w:sz w:val="24"/>
          <w:szCs w:val="18"/>
          <w:highlight w:val="none"/>
        </w:rPr>
        <w:t>6.资金来源：</w:t>
      </w:r>
      <w:r>
        <w:rPr>
          <w:rFonts w:hint="eastAsia"/>
          <w:sz w:val="24"/>
          <w:szCs w:val="18"/>
          <w:highlight w:val="none"/>
          <w:lang w:val="en-US" w:eastAsia="zh-CN"/>
        </w:rPr>
        <w:t>财政统筹</w:t>
      </w:r>
    </w:p>
    <w:p w14:paraId="1120A9A7">
      <w:pPr>
        <w:autoSpaceDE w:val="0"/>
        <w:autoSpaceDN w:val="0"/>
        <w:adjustRightInd w:val="0"/>
        <w:spacing w:line="360" w:lineRule="auto"/>
        <w:ind w:firstLine="436" w:firstLineChars="182"/>
        <w:jc w:val="left"/>
        <w:rPr>
          <w:rFonts w:hint="default" w:eastAsia="宋体"/>
          <w:sz w:val="24"/>
          <w:szCs w:val="18"/>
          <w:highlight w:val="none"/>
          <w:lang w:val="en-US" w:eastAsia="zh-CN"/>
        </w:rPr>
      </w:pPr>
      <w:r>
        <w:rPr>
          <w:rFonts w:hint="eastAsia"/>
          <w:sz w:val="24"/>
          <w:szCs w:val="18"/>
          <w:highlight w:val="none"/>
        </w:rPr>
        <w:t>7.项目预算：</w:t>
      </w:r>
      <w:r>
        <w:rPr>
          <w:rFonts w:hint="eastAsia"/>
          <w:sz w:val="24"/>
          <w:szCs w:val="18"/>
          <w:highlight w:val="none"/>
          <w:lang w:val="en-US" w:eastAsia="zh-CN"/>
        </w:rPr>
        <w:t>单个子项目不超过30万元</w:t>
      </w:r>
    </w:p>
    <w:p w14:paraId="11C46AB1">
      <w:pPr>
        <w:autoSpaceDE w:val="0"/>
        <w:autoSpaceDN w:val="0"/>
        <w:adjustRightInd w:val="0"/>
        <w:spacing w:line="360" w:lineRule="auto"/>
        <w:ind w:firstLine="436" w:firstLineChars="182"/>
        <w:jc w:val="left"/>
        <w:rPr>
          <w:sz w:val="24"/>
          <w:szCs w:val="18"/>
          <w:highlight w:val="none"/>
        </w:rPr>
      </w:pPr>
      <w:r>
        <w:rPr>
          <w:rFonts w:hint="eastAsia"/>
          <w:sz w:val="24"/>
          <w:szCs w:val="18"/>
          <w:highlight w:val="none"/>
        </w:rPr>
        <w:t>8.项目类别：服务类</w:t>
      </w:r>
    </w:p>
    <w:p w14:paraId="18813360">
      <w:pPr>
        <w:autoSpaceDE w:val="0"/>
        <w:autoSpaceDN w:val="0"/>
        <w:adjustRightInd w:val="0"/>
        <w:spacing w:line="360" w:lineRule="auto"/>
        <w:ind w:firstLine="436" w:firstLineChars="182"/>
        <w:jc w:val="left"/>
        <w:rPr>
          <w:rFonts w:hint="default" w:eastAsia="宋体"/>
          <w:sz w:val="24"/>
          <w:szCs w:val="18"/>
          <w:highlight w:val="none"/>
          <w:lang w:val="en-US" w:eastAsia="zh-CN"/>
        </w:rPr>
      </w:pPr>
      <w:r>
        <w:rPr>
          <w:rFonts w:hint="eastAsia"/>
          <w:sz w:val="24"/>
          <w:szCs w:val="18"/>
          <w:highlight w:val="none"/>
        </w:rPr>
        <w:t>9.</w:t>
      </w:r>
      <w:r>
        <w:rPr>
          <w:rFonts w:hint="eastAsia"/>
          <w:sz w:val="24"/>
          <w:szCs w:val="18"/>
          <w:highlight w:val="none"/>
          <w:lang w:val="en-US" w:eastAsia="zh-CN"/>
        </w:rPr>
        <w:t>服务期限</w:t>
      </w:r>
      <w:r>
        <w:rPr>
          <w:rFonts w:hint="eastAsia"/>
          <w:sz w:val="24"/>
          <w:szCs w:val="18"/>
          <w:highlight w:val="none"/>
        </w:rPr>
        <w:t>：</w:t>
      </w:r>
      <w:r>
        <w:rPr>
          <w:rFonts w:hint="eastAsia"/>
          <w:sz w:val="24"/>
          <w:szCs w:val="18"/>
          <w:highlight w:val="none"/>
          <w:lang w:val="en-US" w:eastAsia="zh-CN"/>
        </w:rPr>
        <w:t>一年</w:t>
      </w:r>
    </w:p>
    <w:p w14:paraId="2810660A">
      <w:pPr>
        <w:autoSpaceDE w:val="0"/>
        <w:autoSpaceDN w:val="0"/>
        <w:adjustRightInd w:val="0"/>
        <w:spacing w:line="360" w:lineRule="auto"/>
        <w:ind w:firstLine="439" w:firstLineChars="182"/>
        <w:jc w:val="left"/>
        <w:rPr>
          <w:b/>
          <w:bCs/>
          <w:sz w:val="24"/>
          <w:szCs w:val="18"/>
          <w:highlight w:val="none"/>
        </w:rPr>
      </w:pPr>
      <w:bookmarkStart w:id="7" w:name="_Toc2076"/>
      <w:bookmarkStart w:id="8" w:name="_Toc14580"/>
      <w:bookmarkStart w:id="9" w:name="_Toc19966"/>
      <w:bookmarkStart w:id="10" w:name="_Toc1568"/>
      <w:r>
        <w:rPr>
          <w:rFonts w:hint="eastAsia"/>
          <w:b/>
          <w:bCs/>
          <w:sz w:val="24"/>
          <w:szCs w:val="18"/>
          <w:highlight w:val="none"/>
        </w:rPr>
        <w:t>二、供应商资格</w:t>
      </w:r>
      <w:bookmarkEnd w:id="7"/>
      <w:bookmarkEnd w:id="8"/>
      <w:bookmarkEnd w:id="9"/>
      <w:bookmarkEnd w:id="10"/>
    </w:p>
    <w:p w14:paraId="279B35CB">
      <w:pPr>
        <w:spacing w:line="360" w:lineRule="auto"/>
        <w:ind w:firstLine="435"/>
        <w:rPr>
          <w:rFonts w:hint="eastAsia" w:eastAsia="宋体"/>
          <w:color w:val="auto"/>
          <w:sz w:val="24"/>
          <w:szCs w:val="18"/>
          <w:highlight w:val="none"/>
          <w:lang w:eastAsia="zh-CN"/>
        </w:rPr>
      </w:pPr>
      <w:bookmarkStart w:id="11" w:name="_Toc24924"/>
      <w:bookmarkStart w:id="12" w:name="_Toc10249"/>
      <w:bookmarkStart w:id="13" w:name="_Toc5738"/>
      <w:bookmarkStart w:id="14" w:name="_Toc30622"/>
      <w:r>
        <w:rPr>
          <w:rFonts w:hint="eastAsia"/>
          <w:color w:val="auto"/>
          <w:sz w:val="24"/>
          <w:szCs w:val="18"/>
          <w:highlight w:val="none"/>
        </w:rPr>
        <w:t>1.</w:t>
      </w:r>
      <w:r>
        <w:rPr>
          <w:rFonts w:hint="eastAsia"/>
          <w:color w:val="auto"/>
          <w:sz w:val="24"/>
          <w:szCs w:val="18"/>
          <w:highlight w:val="none"/>
          <w:lang w:val="en-US" w:eastAsia="zh-CN"/>
        </w:rPr>
        <w:t>供应商</w:t>
      </w:r>
      <w:r>
        <w:rPr>
          <w:rFonts w:hint="eastAsia"/>
          <w:color w:val="auto"/>
          <w:sz w:val="24"/>
          <w:szCs w:val="18"/>
          <w:highlight w:val="none"/>
        </w:rPr>
        <w:t>应依法设立</w:t>
      </w:r>
      <w:r>
        <w:rPr>
          <w:rFonts w:hint="eastAsia"/>
          <w:color w:val="auto"/>
          <w:sz w:val="24"/>
          <w:szCs w:val="18"/>
          <w:highlight w:val="none"/>
          <w:lang w:eastAsia="zh-CN"/>
        </w:rPr>
        <w:t>。</w:t>
      </w:r>
    </w:p>
    <w:p w14:paraId="364FE2AF">
      <w:pPr>
        <w:spacing w:line="360" w:lineRule="auto"/>
        <w:ind w:firstLine="435"/>
        <w:rPr>
          <w:rFonts w:hint="eastAsia"/>
          <w:color w:val="auto"/>
          <w:sz w:val="24"/>
          <w:szCs w:val="18"/>
          <w:highlight w:val="none"/>
          <w:lang w:val="en-US" w:eastAsia="zh-CN"/>
        </w:rPr>
      </w:pPr>
      <w:r>
        <w:rPr>
          <w:rFonts w:hint="eastAsia"/>
          <w:color w:val="auto"/>
          <w:sz w:val="24"/>
          <w:szCs w:val="18"/>
          <w:highlight w:val="none"/>
        </w:rPr>
        <w:t>2.</w:t>
      </w:r>
      <w:r>
        <w:rPr>
          <w:rFonts w:hint="eastAsia"/>
          <w:color w:val="auto"/>
          <w:sz w:val="24"/>
          <w:szCs w:val="18"/>
          <w:highlight w:val="none"/>
          <w:lang w:val="en-US" w:eastAsia="zh-CN"/>
        </w:rPr>
        <w:t>供应商</w:t>
      </w:r>
      <w:r>
        <w:rPr>
          <w:rFonts w:hint="eastAsia"/>
          <w:color w:val="auto"/>
          <w:sz w:val="24"/>
          <w:szCs w:val="18"/>
          <w:highlight w:val="none"/>
        </w:rPr>
        <w:t>资</w:t>
      </w:r>
      <w:r>
        <w:rPr>
          <w:rFonts w:hint="eastAsia"/>
          <w:color w:val="auto"/>
          <w:sz w:val="24"/>
          <w:szCs w:val="18"/>
          <w:highlight w:val="none"/>
          <w:lang w:val="en-US" w:eastAsia="zh-CN"/>
        </w:rPr>
        <w:t>质要求：</w:t>
      </w:r>
    </w:p>
    <w:p w14:paraId="5824F5F2">
      <w:pPr>
        <w:spacing w:line="360" w:lineRule="auto"/>
        <w:ind w:firstLine="435"/>
        <w:rPr>
          <w:rFonts w:hint="eastAsia"/>
          <w:color w:val="auto"/>
          <w:sz w:val="24"/>
          <w:szCs w:val="18"/>
          <w:highlight w:val="none"/>
          <w:lang w:val="en-US" w:eastAsia="zh-CN"/>
        </w:rPr>
      </w:pPr>
      <w:r>
        <w:rPr>
          <w:rFonts w:hint="eastAsia"/>
          <w:color w:val="auto"/>
          <w:sz w:val="24"/>
          <w:szCs w:val="18"/>
          <w:highlight w:val="none"/>
          <w:lang w:val="en-US" w:eastAsia="zh-CN"/>
        </w:rPr>
        <w:t>第1包 ：同时满足（1）和（2），或者满足（3）：</w:t>
      </w:r>
    </w:p>
    <w:p w14:paraId="6EE883C9">
      <w:pPr>
        <w:spacing w:line="360" w:lineRule="auto"/>
        <w:ind w:firstLine="435"/>
        <w:rPr>
          <w:rFonts w:hint="eastAsia"/>
          <w:color w:val="auto"/>
          <w:sz w:val="24"/>
          <w:szCs w:val="18"/>
          <w:highlight w:val="none"/>
          <w:lang w:val="en-US" w:eastAsia="zh-CN"/>
        </w:rPr>
      </w:pPr>
      <w:r>
        <w:rPr>
          <w:rFonts w:hint="eastAsia"/>
          <w:color w:val="auto"/>
          <w:sz w:val="24"/>
          <w:szCs w:val="18"/>
          <w:highlight w:val="none"/>
          <w:lang w:val="en-US" w:eastAsia="zh-CN"/>
        </w:rPr>
        <w:t>（1）具有消防设施工程专项设计乙级及以上资质，或具有建筑行业（建筑工程专业）工程设计乙级及以上资质，或建筑行业工程设计乙级及以上资质；</w:t>
      </w:r>
    </w:p>
    <w:p w14:paraId="4FDD8522">
      <w:pPr>
        <w:spacing w:line="360" w:lineRule="auto"/>
        <w:ind w:firstLine="435"/>
        <w:rPr>
          <w:rFonts w:hint="eastAsia"/>
          <w:color w:val="auto"/>
          <w:sz w:val="24"/>
          <w:szCs w:val="18"/>
          <w:highlight w:val="none"/>
          <w:lang w:val="en-US" w:eastAsia="zh-CN"/>
        </w:rPr>
      </w:pPr>
      <w:r>
        <w:rPr>
          <w:rFonts w:hint="eastAsia"/>
          <w:color w:val="auto"/>
          <w:sz w:val="24"/>
          <w:szCs w:val="18"/>
          <w:highlight w:val="none"/>
          <w:lang w:val="en-US" w:eastAsia="zh-CN"/>
        </w:rPr>
        <w:t>（2）具有市政行业（排水工程）专业设计乙级及以上资质，或市政行业设计乙级及以上资质；</w:t>
      </w:r>
    </w:p>
    <w:p w14:paraId="0962AB2A">
      <w:pPr>
        <w:spacing w:line="360" w:lineRule="auto"/>
        <w:ind w:firstLine="435"/>
        <w:rPr>
          <w:rFonts w:hint="eastAsia"/>
          <w:color w:val="auto"/>
          <w:sz w:val="24"/>
          <w:szCs w:val="18"/>
          <w:highlight w:val="none"/>
          <w:lang w:val="en-US" w:eastAsia="zh-CN"/>
        </w:rPr>
      </w:pPr>
      <w:r>
        <w:rPr>
          <w:rFonts w:hint="eastAsia"/>
          <w:color w:val="auto"/>
          <w:sz w:val="24"/>
          <w:szCs w:val="18"/>
          <w:highlight w:val="none"/>
          <w:lang w:val="en-US" w:eastAsia="zh-CN"/>
        </w:rPr>
        <w:t>（3）工程设计综合甲级资质。</w:t>
      </w:r>
    </w:p>
    <w:p w14:paraId="15F5D3BB">
      <w:pPr>
        <w:spacing w:line="360" w:lineRule="auto"/>
        <w:ind w:firstLine="435"/>
        <w:rPr>
          <w:color w:val="auto"/>
          <w:sz w:val="24"/>
          <w:szCs w:val="18"/>
          <w:highlight w:val="none"/>
        </w:rPr>
      </w:pPr>
      <w:r>
        <w:rPr>
          <w:rFonts w:hint="eastAsia"/>
          <w:color w:val="auto"/>
          <w:sz w:val="24"/>
          <w:szCs w:val="18"/>
          <w:highlight w:val="none"/>
        </w:rPr>
        <w:t>3.</w:t>
      </w:r>
      <w:r>
        <w:rPr>
          <w:rFonts w:hint="eastAsia"/>
          <w:color w:val="auto"/>
          <w:sz w:val="24"/>
          <w:szCs w:val="18"/>
          <w:highlight w:val="none"/>
          <w:lang w:eastAsia="zh-CN"/>
        </w:rPr>
        <w:t>项目负责人</w:t>
      </w:r>
      <w:r>
        <w:rPr>
          <w:rFonts w:hint="eastAsia"/>
          <w:color w:val="auto"/>
          <w:sz w:val="24"/>
          <w:szCs w:val="18"/>
          <w:highlight w:val="none"/>
        </w:rPr>
        <w:t>：</w:t>
      </w:r>
      <w:r>
        <w:rPr>
          <w:rFonts w:hint="eastAsia"/>
          <w:color w:val="auto"/>
          <w:sz w:val="24"/>
          <w:szCs w:val="18"/>
          <w:highlight w:val="none"/>
          <w:lang w:val="en-US" w:eastAsia="zh-CN"/>
        </w:rPr>
        <w:t>具有注册公用设备工程师（给水排水）证书和给排水专业高级及以上职称</w:t>
      </w:r>
      <w:r>
        <w:rPr>
          <w:rFonts w:hint="eastAsia"/>
          <w:color w:val="auto"/>
          <w:sz w:val="24"/>
          <w:szCs w:val="18"/>
          <w:highlight w:val="none"/>
        </w:rPr>
        <w:t>。</w:t>
      </w:r>
    </w:p>
    <w:p w14:paraId="08FE507C">
      <w:pPr>
        <w:spacing w:line="360" w:lineRule="auto"/>
        <w:ind w:firstLine="435"/>
        <w:rPr>
          <w:rFonts w:hint="eastAsia" w:eastAsia="宋体"/>
          <w:color w:val="auto"/>
          <w:sz w:val="24"/>
          <w:szCs w:val="18"/>
          <w:highlight w:val="none"/>
          <w:lang w:eastAsia="zh-CN"/>
        </w:rPr>
      </w:pPr>
      <w:r>
        <w:rPr>
          <w:rFonts w:hint="eastAsia"/>
          <w:color w:val="auto"/>
          <w:sz w:val="24"/>
          <w:szCs w:val="18"/>
          <w:highlight w:val="none"/>
        </w:rPr>
        <w:t>4.本项目不接受联合体</w:t>
      </w:r>
      <w:r>
        <w:rPr>
          <w:rFonts w:hint="eastAsia"/>
          <w:color w:val="auto"/>
          <w:sz w:val="24"/>
          <w:szCs w:val="18"/>
          <w:highlight w:val="none"/>
          <w:lang w:val="en-US" w:eastAsia="zh-CN"/>
        </w:rPr>
        <w:t>参与磋商</w:t>
      </w:r>
      <w:r>
        <w:rPr>
          <w:rFonts w:hint="eastAsia"/>
          <w:color w:val="auto"/>
          <w:sz w:val="24"/>
          <w:szCs w:val="18"/>
          <w:highlight w:val="none"/>
          <w:lang w:eastAsia="zh-CN"/>
        </w:rPr>
        <w:t>。</w:t>
      </w:r>
    </w:p>
    <w:p w14:paraId="5B7A2A99">
      <w:pPr>
        <w:spacing w:line="360" w:lineRule="auto"/>
        <w:ind w:firstLine="435"/>
        <w:outlineLvl w:val="1"/>
        <w:rPr>
          <w:b/>
          <w:bCs/>
          <w:sz w:val="24"/>
          <w:szCs w:val="18"/>
        </w:rPr>
      </w:pPr>
      <w:r>
        <w:rPr>
          <w:rFonts w:hint="eastAsia"/>
          <w:b/>
          <w:bCs/>
          <w:sz w:val="24"/>
          <w:szCs w:val="18"/>
        </w:rPr>
        <w:t>三</w:t>
      </w:r>
      <w:r>
        <w:rPr>
          <w:rFonts w:hint="eastAsia"/>
          <w:b/>
          <w:sz w:val="24"/>
        </w:rPr>
        <w:t>、</w:t>
      </w:r>
      <w:r>
        <w:rPr>
          <w:rFonts w:hint="eastAsia"/>
          <w:b/>
          <w:bCs/>
          <w:sz w:val="24"/>
          <w:szCs w:val="18"/>
        </w:rPr>
        <w:t>磋商文件的获取</w:t>
      </w:r>
      <w:bookmarkEnd w:id="11"/>
      <w:bookmarkEnd w:id="12"/>
      <w:bookmarkEnd w:id="13"/>
      <w:bookmarkEnd w:id="14"/>
    </w:p>
    <w:p w14:paraId="49767B21">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1.获取</w:t>
      </w:r>
      <w:r>
        <w:rPr>
          <w:rFonts w:hint="eastAsia" w:cs="宋体"/>
          <w:sz w:val="24"/>
          <w:szCs w:val="18"/>
        </w:rPr>
        <w:t>时间：202</w:t>
      </w:r>
      <w:r>
        <w:rPr>
          <w:rFonts w:hint="eastAsia" w:cs="宋体"/>
          <w:sz w:val="24"/>
          <w:szCs w:val="18"/>
          <w:lang w:val="en-US" w:eastAsia="zh-CN"/>
        </w:rPr>
        <w:t>5</w:t>
      </w:r>
      <w:r>
        <w:rPr>
          <w:rFonts w:hint="eastAsia" w:cs="宋体"/>
          <w:sz w:val="24"/>
          <w:szCs w:val="18"/>
        </w:rPr>
        <w:t>年</w:t>
      </w:r>
      <w:r>
        <w:rPr>
          <w:rFonts w:hint="eastAsia" w:cs="宋体"/>
          <w:sz w:val="24"/>
          <w:szCs w:val="18"/>
          <w:lang w:val="en-US" w:eastAsia="zh-CN"/>
        </w:rPr>
        <w:t>09</w:t>
      </w:r>
      <w:r>
        <w:rPr>
          <w:rFonts w:hint="eastAsia" w:cs="宋体"/>
          <w:sz w:val="24"/>
          <w:szCs w:val="18"/>
        </w:rPr>
        <w:t>月</w:t>
      </w:r>
      <w:r>
        <w:rPr>
          <w:rFonts w:hint="eastAsia" w:cs="宋体"/>
          <w:sz w:val="24"/>
          <w:szCs w:val="18"/>
          <w:lang w:val="en-US" w:eastAsia="zh-CN"/>
        </w:rPr>
        <w:t>28</w:t>
      </w:r>
      <w:r>
        <w:rPr>
          <w:rFonts w:hint="eastAsia" w:cs="宋体"/>
          <w:sz w:val="24"/>
          <w:szCs w:val="18"/>
        </w:rPr>
        <w:t>日至磋商时间。</w:t>
      </w:r>
    </w:p>
    <w:p w14:paraId="387FBCC3">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2.获取</w:t>
      </w:r>
      <w:r>
        <w:rPr>
          <w:rFonts w:hint="eastAsia" w:cs="宋体"/>
          <w:sz w:val="24"/>
          <w:szCs w:val="18"/>
        </w:rPr>
        <w:t>地点：优质采云采购平台（http://www.youzhicai.com/）</w:t>
      </w:r>
    </w:p>
    <w:p w14:paraId="7556E46E">
      <w:pPr>
        <w:autoSpaceDE w:val="0"/>
        <w:autoSpaceDN w:val="0"/>
        <w:adjustRightInd w:val="0"/>
        <w:spacing w:line="360" w:lineRule="auto"/>
        <w:ind w:firstLine="436" w:firstLineChars="182"/>
        <w:jc w:val="left"/>
        <w:rPr>
          <w:rFonts w:cs="宋体"/>
          <w:sz w:val="24"/>
          <w:szCs w:val="18"/>
        </w:rPr>
      </w:pPr>
      <w:r>
        <w:rPr>
          <w:rFonts w:hint="eastAsia" w:cs="宋体"/>
          <w:sz w:val="24"/>
          <w:szCs w:val="18"/>
          <w:lang w:val="en-US" w:eastAsia="zh-CN"/>
        </w:rPr>
        <w:t>3.获取</w:t>
      </w:r>
      <w:r>
        <w:rPr>
          <w:rFonts w:hint="eastAsia" w:cs="宋体"/>
          <w:sz w:val="24"/>
          <w:szCs w:val="18"/>
        </w:rPr>
        <w:t>方式：在线下载</w:t>
      </w:r>
    </w:p>
    <w:p w14:paraId="41B85A8D">
      <w:pPr>
        <w:spacing w:line="360" w:lineRule="auto"/>
        <w:ind w:firstLine="435"/>
        <w:outlineLvl w:val="1"/>
        <w:rPr>
          <w:b/>
          <w:bCs/>
          <w:sz w:val="24"/>
          <w:szCs w:val="18"/>
        </w:rPr>
      </w:pPr>
      <w:bookmarkStart w:id="15" w:name="_Toc13396"/>
      <w:bookmarkStart w:id="16" w:name="_Toc31230"/>
      <w:bookmarkStart w:id="17" w:name="_Toc4161"/>
      <w:bookmarkStart w:id="18" w:name="_Toc24669"/>
      <w:r>
        <w:rPr>
          <w:rFonts w:hint="eastAsia"/>
          <w:b/>
          <w:bCs/>
          <w:sz w:val="24"/>
          <w:szCs w:val="18"/>
        </w:rPr>
        <w:t>四</w:t>
      </w:r>
      <w:r>
        <w:rPr>
          <w:rFonts w:hint="eastAsia"/>
          <w:b/>
          <w:sz w:val="24"/>
        </w:rPr>
        <w:t>、</w:t>
      </w:r>
      <w:r>
        <w:rPr>
          <w:rFonts w:hint="eastAsia"/>
          <w:b/>
          <w:bCs/>
          <w:sz w:val="24"/>
        </w:rPr>
        <w:t>磋商时间及地点</w:t>
      </w:r>
      <w:bookmarkEnd w:id="15"/>
      <w:bookmarkEnd w:id="16"/>
      <w:bookmarkEnd w:id="17"/>
      <w:bookmarkEnd w:id="18"/>
    </w:p>
    <w:p w14:paraId="4FE3DE20">
      <w:pPr>
        <w:spacing w:line="360" w:lineRule="auto"/>
        <w:ind w:firstLine="435"/>
        <w:rPr>
          <w:rFonts w:cs="宋体"/>
          <w:sz w:val="24"/>
          <w:szCs w:val="18"/>
        </w:rPr>
      </w:pPr>
      <w:r>
        <w:rPr>
          <w:rFonts w:hint="eastAsia" w:cs="宋体"/>
          <w:sz w:val="24"/>
          <w:szCs w:val="18"/>
        </w:rPr>
        <w:t>1.磋商时间：202</w:t>
      </w:r>
      <w:r>
        <w:rPr>
          <w:rFonts w:hint="eastAsia" w:cs="宋体"/>
          <w:sz w:val="24"/>
          <w:szCs w:val="18"/>
          <w:lang w:val="en-US" w:eastAsia="zh-CN"/>
        </w:rPr>
        <w:t>5</w:t>
      </w:r>
      <w:r>
        <w:rPr>
          <w:rFonts w:hint="eastAsia" w:cs="宋体"/>
          <w:sz w:val="24"/>
          <w:szCs w:val="18"/>
        </w:rPr>
        <w:t>年</w:t>
      </w:r>
      <w:r>
        <w:rPr>
          <w:rFonts w:hint="eastAsia" w:cs="宋体"/>
          <w:sz w:val="24"/>
          <w:szCs w:val="18"/>
          <w:lang w:val="en-US" w:eastAsia="zh-CN"/>
        </w:rPr>
        <w:t>10</w:t>
      </w:r>
      <w:r>
        <w:rPr>
          <w:rFonts w:hint="eastAsia" w:cs="宋体"/>
          <w:sz w:val="24"/>
          <w:szCs w:val="18"/>
        </w:rPr>
        <w:t>月</w:t>
      </w:r>
      <w:r>
        <w:rPr>
          <w:rFonts w:hint="eastAsia" w:cs="宋体"/>
          <w:sz w:val="24"/>
          <w:szCs w:val="18"/>
          <w:lang w:val="en-US" w:eastAsia="zh-CN"/>
        </w:rPr>
        <w:t>09</w:t>
      </w:r>
      <w:r>
        <w:rPr>
          <w:rFonts w:hint="eastAsia" w:cs="宋体"/>
          <w:sz w:val="24"/>
          <w:szCs w:val="18"/>
        </w:rPr>
        <w:t>日1</w:t>
      </w:r>
      <w:r>
        <w:rPr>
          <w:rFonts w:hint="eastAsia" w:cs="宋体"/>
          <w:sz w:val="24"/>
          <w:szCs w:val="18"/>
          <w:lang w:val="en-US" w:eastAsia="zh-CN"/>
        </w:rPr>
        <w:t>0</w:t>
      </w:r>
      <w:r>
        <w:rPr>
          <w:rFonts w:hint="eastAsia" w:cs="宋体"/>
          <w:sz w:val="24"/>
          <w:szCs w:val="18"/>
        </w:rPr>
        <w:t>时00分</w:t>
      </w:r>
    </w:p>
    <w:p w14:paraId="6725C14A">
      <w:pPr>
        <w:spacing w:line="360" w:lineRule="auto"/>
        <w:ind w:firstLine="435"/>
        <w:rPr>
          <w:sz w:val="24"/>
          <w:szCs w:val="18"/>
        </w:rPr>
      </w:pPr>
      <w:r>
        <w:rPr>
          <w:rFonts w:hint="eastAsia" w:cs="宋体"/>
          <w:sz w:val="24"/>
          <w:szCs w:val="18"/>
        </w:rPr>
        <w:t>2.磋商地点：优质采云采购平台（http://www.youzhicai.com/）</w:t>
      </w:r>
    </w:p>
    <w:p w14:paraId="6E64130E">
      <w:pPr>
        <w:spacing w:line="360" w:lineRule="auto"/>
        <w:ind w:firstLine="435"/>
        <w:outlineLvl w:val="1"/>
        <w:rPr>
          <w:b/>
          <w:bCs/>
          <w:sz w:val="24"/>
          <w:szCs w:val="18"/>
        </w:rPr>
      </w:pPr>
      <w:bookmarkStart w:id="19" w:name="_Toc25008"/>
      <w:bookmarkStart w:id="20" w:name="_Toc30686"/>
      <w:bookmarkStart w:id="21" w:name="_Toc23523"/>
      <w:bookmarkStart w:id="22" w:name="_Toc6377"/>
      <w:r>
        <w:rPr>
          <w:rFonts w:hint="eastAsia"/>
          <w:b/>
          <w:bCs/>
          <w:sz w:val="24"/>
          <w:szCs w:val="18"/>
        </w:rPr>
        <w:t>五</w:t>
      </w:r>
      <w:r>
        <w:rPr>
          <w:rFonts w:hint="eastAsia"/>
          <w:b/>
          <w:sz w:val="24"/>
        </w:rPr>
        <w:t>、</w:t>
      </w:r>
      <w:r>
        <w:rPr>
          <w:rFonts w:hint="eastAsia"/>
          <w:b/>
          <w:bCs/>
          <w:sz w:val="24"/>
        </w:rPr>
        <w:t>响应文件提交截止时间</w:t>
      </w:r>
      <w:bookmarkEnd w:id="19"/>
      <w:bookmarkEnd w:id="20"/>
      <w:bookmarkEnd w:id="21"/>
      <w:bookmarkEnd w:id="22"/>
    </w:p>
    <w:p w14:paraId="1B1E95F6">
      <w:pPr>
        <w:spacing w:line="360" w:lineRule="auto"/>
        <w:ind w:firstLine="435"/>
        <w:rPr>
          <w:rFonts w:hint="eastAsia" w:eastAsia="宋体"/>
          <w:sz w:val="24"/>
          <w:szCs w:val="18"/>
          <w:lang w:val="en-US" w:eastAsia="zh-CN"/>
        </w:rPr>
      </w:pPr>
      <w:r>
        <w:rPr>
          <w:rFonts w:hint="eastAsia"/>
          <w:sz w:val="24"/>
          <w:szCs w:val="18"/>
        </w:rPr>
        <w:t>同磋商时间</w:t>
      </w:r>
      <w:r>
        <w:rPr>
          <w:rFonts w:hint="eastAsia"/>
          <w:sz w:val="24"/>
          <w:szCs w:val="18"/>
          <w:lang w:eastAsia="zh-CN"/>
        </w:rPr>
        <w:t>。</w:t>
      </w:r>
    </w:p>
    <w:p w14:paraId="2AA80744">
      <w:pPr>
        <w:spacing w:line="360" w:lineRule="auto"/>
        <w:ind w:firstLine="435"/>
        <w:outlineLvl w:val="1"/>
        <w:rPr>
          <w:b/>
          <w:bCs/>
          <w:sz w:val="24"/>
          <w:szCs w:val="18"/>
        </w:rPr>
      </w:pPr>
      <w:bookmarkStart w:id="23" w:name="_Toc3309"/>
      <w:bookmarkStart w:id="24" w:name="_Toc22414"/>
      <w:bookmarkStart w:id="25" w:name="_Toc5945"/>
      <w:bookmarkStart w:id="26" w:name="_Toc8280"/>
      <w:r>
        <w:rPr>
          <w:rFonts w:hint="eastAsia"/>
          <w:b/>
          <w:bCs/>
          <w:sz w:val="24"/>
          <w:szCs w:val="18"/>
        </w:rPr>
        <w:t>六</w:t>
      </w:r>
      <w:r>
        <w:rPr>
          <w:rFonts w:hint="eastAsia"/>
          <w:b/>
          <w:sz w:val="24"/>
        </w:rPr>
        <w:t>、</w:t>
      </w:r>
      <w:r>
        <w:rPr>
          <w:rFonts w:hint="eastAsia"/>
          <w:b/>
          <w:bCs/>
          <w:sz w:val="24"/>
          <w:szCs w:val="18"/>
        </w:rPr>
        <w:t>联系方式</w:t>
      </w:r>
      <w:bookmarkEnd w:id="23"/>
      <w:bookmarkEnd w:id="24"/>
      <w:bookmarkEnd w:id="25"/>
      <w:bookmarkEnd w:id="26"/>
    </w:p>
    <w:p w14:paraId="1CDC0265">
      <w:pPr>
        <w:spacing w:line="360" w:lineRule="auto"/>
        <w:ind w:firstLine="435"/>
        <w:outlineLvl w:val="2"/>
        <w:rPr>
          <w:rFonts w:cs="@仿宋_GB2312"/>
          <w:kern w:val="2"/>
          <w:sz w:val="24"/>
          <w:szCs w:val="18"/>
        </w:rPr>
      </w:pPr>
      <w:r>
        <w:rPr>
          <w:rFonts w:cs="@仿宋_GB2312"/>
          <w:kern w:val="2"/>
          <w:sz w:val="24"/>
          <w:szCs w:val="18"/>
        </w:rPr>
        <w:t>1.</w:t>
      </w:r>
      <w:r>
        <w:rPr>
          <w:sz w:val="24"/>
          <w:szCs w:val="18"/>
        </w:rPr>
        <w:t>业主</w:t>
      </w:r>
      <w:r>
        <w:rPr>
          <w:rFonts w:hint="eastAsia"/>
          <w:sz w:val="24"/>
          <w:szCs w:val="18"/>
        </w:rPr>
        <w:t>单位</w:t>
      </w:r>
    </w:p>
    <w:p w14:paraId="18D2642D">
      <w:pPr>
        <w:spacing w:line="360" w:lineRule="auto"/>
        <w:ind w:firstLine="435"/>
        <w:rPr>
          <w:rFonts w:hint="eastAsia" w:eastAsia="宋体" w:cs="@仿宋_GB2312"/>
          <w:kern w:val="2"/>
          <w:sz w:val="24"/>
          <w:szCs w:val="18"/>
          <w:lang w:eastAsia="zh-CN"/>
        </w:rPr>
      </w:pPr>
      <w:r>
        <w:rPr>
          <w:sz w:val="24"/>
          <w:szCs w:val="18"/>
        </w:rPr>
        <w:t>业主</w:t>
      </w:r>
      <w:r>
        <w:rPr>
          <w:rFonts w:hint="eastAsia"/>
          <w:sz w:val="24"/>
          <w:szCs w:val="18"/>
        </w:rPr>
        <w:t>单位</w:t>
      </w:r>
      <w:r>
        <w:rPr>
          <w:rFonts w:hint="eastAsia" w:cs="@仿宋_GB2312"/>
          <w:kern w:val="2"/>
          <w:sz w:val="24"/>
          <w:szCs w:val="18"/>
        </w:rPr>
        <w:t>：</w:t>
      </w:r>
      <w:r>
        <w:rPr>
          <w:rFonts w:hint="eastAsia" w:cs="@仿宋_GB2312"/>
          <w:kern w:val="2"/>
          <w:sz w:val="24"/>
          <w:szCs w:val="18"/>
          <w:lang w:eastAsia="zh-CN"/>
        </w:rPr>
        <w:t>肥西县住房和城乡建设局</w:t>
      </w:r>
    </w:p>
    <w:p w14:paraId="4779FC17">
      <w:pPr>
        <w:spacing w:line="360" w:lineRule="auto"/>
        <w:ind w:firstLine="435"/>
        <w:rPr>
          <w:sz w:val="24"/>
          <w:szCs w:val="24"/>
        </w:rPr>
      </w:pPr>
      <w:r>
        <w:rPr>
          <w:rFonts w:hint="eastAsia" w:cs="@仿宋_GB2312"/>
          <w:kern w:val="2"/>
          <w:sz w:val="24"/>
          <w:szCs w:val="18"/>
        </w:rPr>
        <w:t>地址：肥西县合铜路翰林水岸上园翰锦苑西南侧约70米</w:t>
      </w:r>
    </w:p>
    <w:p w14:paraId="2E41104F">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联系人：雷工</w:t>
      </w:r>
      <w:r>
        <w:rPr>
          <w:rFonts w:hint="eastAsia" w:cs="@仿宋_GB2312"/>
          <w:kern w:val="2"/>
          <w:sz w:val="24"/>
          <w:szCs w:val="18"/>
          <w:highlight w:val="none"/>
          <w:lang w:val="en-US" w:eastAsia="zh-CN"/>
        </w:rPr>
        <w:t xml:space="preserve"> </w:t>
      </w:r>
    </w:p>
    <w:p w14:paraId="7E98299A">
      <w:pPr>
        <w:spacing w:line="360" w:lineRule="auto"/>
        <w:ind w:firstLine="435"/>
        <w:rPr>
          <w:rFonts w:hint="default" w:eastAsia="宋体" w:cs="@仿宋_GB2312"/>
          <w:kern w:val="2"/>
          <w:sz w:val="24"/>
          <w:szCs w:val="18"/>
          <w:highlight w:val="none"/>
          <w:lang w:val="en-US" w:eastAsia="zh-CN"/>
        </w:rPr>
      </w:pPr>
      <w:r>
        <w:rPr>
          <w:rFonts w:hint="eastAsia" w:cs="@仿宋_GB2312"/>
          <w:kern w:val="2"/>
          <w:sz w:val="24"/>
          <w:szCs w:val="18"/>
          <w:highlight w:val="none"/>
        </w:rPr>
        <w:t>电话：19942422818</w:t>
      </w:r>
      <w:r>
        <w:rPr>
          <w:rFonts w:hint="eastAsia" w:cs="@仿宋_GB2312"/>
          <w:kern w:val="2"/>
          <w:sz w:val="24"/>
          <w:szCs w:val="18"/>
          <w:highlight w:val="none"/>
          <w:lang w:val="en-US" w:eastAsia="zh-CN"/>
        </w:rPr>
        <w:t xml:space="preserve"> </w:t>
      </w:r>
    </w:p>
    <w:p w14:paraId="1D5F1C24">
      <w:pPr>
        <w:spacing w:line="360" w:lineRule="auto"/>
        <w:ind w:firstLine="435"/>
        <w:outlineLvl w:val="2"/>
        <w:rPr>
          <w:rFonts w:cs="@仿宋_GB2312"/>
          <w:b/>
          <w:kern w:val="2"/>
          <w:sz w:val="24"/>
          <w:szCs w:val="18"/>
        </w:rPr>
      </w:pPr>
      <w:r>
        <w:rPr>
          <w:rFonts w:cs="@仿宋_GB2312"/>
          <w:kern w:val="2"/>
          <w:sz w:val="24"/>
          <w:szCs w:val="18"/>
        </w:rPr>
        <w:t>2</w:t>
      </w:r>
      <w:r>
        <w:rPr>
          <w:rFonts w:hint="eastAsia" w:cs="@仿宋_GB2312"/>
          <w:b/>
          <w:kern w:val="2"/>
          <w:sz w:val="24"/>
          <w:szCs w:val="18"/>
        </w:rPr>
        <w:t>.</w:t>
      </w:r>
      <w:r>
        <w:rPr>
          <w:rFonts w:hint="eastAsia" w:cs="@仿宋_GB2312"/>
          <w:kern w:val="2"/>
          <w:sz w:val="24"/>
          <w:szCs w:val="18"/>
        </w:rPr>
        <w:t>代理机构</w:t>
      </w:r>
    </w:p>
    <w:p w14:paraId="5B3AB195">
      <w:pPr>
        <w:spacing w:line="360" w:lineRule="auto"/>
        <w:ind w:firstLine="435"/>
        <w:rPr>
          <w:rFonts w:hint="eastAsia" w:eastAsia="宋体" w:cs="@仿宋_GB2312"/>
          <w:kern w:val="2"/>
          <w:sz w:val="24"/>
          <w:szCs w:val="18"/>
          <w:lang w:eastAsia="zh-CN"/>
        </w:rPr>
      </w:pPr>
      <w:r>
        <w:rPr>
          <w:rFonts w:hint="eastAsia" w:cs="@仿宋_GB2312"/>
          <w:kern w:val="2"/>
          <w:sz w:val="24"/>
          <w:szCs w:val="18"/>
        </w:rPr>
        <w:t>代理机构：</w:t>
      </w:r>
      <w:r>
        <w:rPr>
          <w:rFonts w:hint="eastAsia"/>
          <w:sz w:val="24"/>
          <w:szCs w:val="24"/>
          <w:lang w:eastAsia="zh-CN"/>
        </w:rPr>
        <w:t>肥西县派合商务服务有限公司</w:t>
      </w:r>
    </w:p>
    <w:p w14:paraId="49EDD7E2">
      <w:pPr>
        <w:spacing w:line="360" w:lineRule="auto"/>
        <w:ind w:firstLine="435"/>
        <w:rPr>
          <w:rFonts w:cs="@仿宋_GB2312"/>
          <w:kern w:val="2"/>
          <w:sz w:val="24"/>
          <w:szCs w:val="18"/>
        </w:rPr>
      </w:pPr>
      <w:r>
        <w:rPr>
          <w:rFonts w:hint="eastAsia" w:cs="@仿宋_GB2312"/>
          <w:kern w:val="2"/>
          <w:sz w:val="24"/>
          <w:szCs w:val="18"/>
        </w:rPr>
        <w:t>地址</w:t>
      </w:r>
      <w:r>
        <w:rPr>
          <w:rFonts w:hint="eastAsia"/>
          <w:sz w:val="24"/>
          <w:szCs w:val="18"/>
        </w:rPr>
        <w:t>：</w:t>
      </w:r>
      <w:r>
        <w:rPr>
          <w:rFonts w:hint="eastAsia"/>
          <w:sz w:val="24"/>
          <w:szCs w:val="24"/>
        </w:rPr>
        <w:t>肥西县上派镇紫石路与佛光路交叉口肥光办公区3号楼2楼</w:t>
      </w:r>
    </w:p>
    <w:p w14:paraId="5ED7AA02">
      <w:pPr>
        <w:spacing w:line="360" w:lineRule="auto"/>
        <w:ind w:firstLine="435"/>
        <w:rPr>
          <w:rFonts w:hint="eastAsia" w:eastAsia="宋体" w:cs="@仿宋_GB2312"/>
          <w:kern w:val="2"/>
          <w:sz w:val="24"/>
          <w:szCs w:val="18"/>
          <w:lang w:eastAsia="zh-CN"/>
        </w:rPr>
      </w:pPr>
      <w:r>
        <w:rPr>
          <w:rFonts w:hint="eastAsia" w:cs="@仿宋_GB2312"/>
          <w:kern w:val="2"/>
          <w:sz w:val="24"/>
          <w:szCs w:val="18"/>
        </w:rPr>
        <w:t>联系人：</w:t>
      </w:r>
      <w:r>
        <w:rPr>
          <w:rFonts w:hint="eastAsia" w:cs="@仿宋_GB2312"/>
          <w:kern w:val="2"/>
          <w:sz w:val="24"/>
          <w:szCs w:val="18"/>
          <w:lang w:val="en-US" w:eastAsia="zh-CN"/>
        </w:rPr>
        <w:t>徐工</w:t>
      </w:r>
    </w:p>
    <w:p w14:paraId="0BD881F2">
      <w:pPr>
        <w:spacing w:line="360" w:lineRule="auto"/>
        <w:ind w:firstLine="435"/>
        <w:rPr>
          <w:rFonts w:hint="eastAsia" w:eastAsia="宋体" w:cs="@仿宋_GB2312"/>
          <w:kern w:val="2"/>
          <w:sz w:val="24"/>
          <w:szCs w:val="18"/>
          <w:lang w:eastAsia="zh-CN"/>
        </w:rPr>
      </w:pPr>
      <w:r>
        <w:rPr>
          <w:rFonts w:hint="eastAsia" w:cs="@仿宋_GB2312"/>
          <w:kern w:val="2"/>
          <w:sz w:val="24"/>
          <w:szCs w:val="18"/>
        </w:rPr>
        <w:t>电话</w:t>
      </w:r>
      <w:r>
        <w:rPr>
          <w:rFonts w:hint="eastAsia"/>
          <w:sz w:val="24"/>
          <w:szCs w:val="18"/>
        </w:rPr>
        <w:t>：</w:t>
      </w:r>
      <w:r>
        <w:rPr>
          <w:rFonts w:hint="eastAsia"/>
          <w:sz w:val="24"/>
          <w:szCs w:val="24"/>
        </w:rPr>
        <w:t>0551-</w:t>
      </w:r>
      <w:r>
        <w:rPr>
          <w:rFonts w:hint="eastAsia"/>
          <w:sz w:val="24"/>
          <w:szCs w:val="24"/>
          <w:lang w:eastAsia="zh-CN"/>
        </w:rPr>
        <w:t>68825007</w:t>
      </w:r>
    </w:p>
    <w:p w14:paraId="02AF136E">
      <w:pPr>
        <w:spacing w:line="360" w:lineRule="auto"/>
        <w:ind w:firstLine="435"/>
        <w:outlineLvl w:val="1"/>
        <w:rPr>
          <w:rFonts w:cs="宋体"/>
          <w:sz w:val="24"/>
          <w:szCs w:val="18"/>
        </w:rPr>
      </w:pPr>
      <w:bookmarkStart w:id="27" w:name="_Toc28019"/>
      <w:bookmarkStart w:id="28" w:name="_Toc2040"/>
      <w:bookmarkStart w:id="29" w:name="_Toc2215"/>
      <w:bookmarkStart w:id="30" w:name="_Toc6102"/>
      <w:r>
        <w:rPr>
          <w:rFonts w:hint="eastAsia"/>
          <w:b/>
          <w:sz w:val="24"/>
          <w:szCs w:val="18"/>
        </w:rPr>
        <w:t>七</w:t>
      </w:r>
      <w:r>
        <w:rPr>
          <w:rFonts w:hint="eastAsia"/>
          <w:b/>
          <w:sz w:val="24"/>
        </w:rPr>
        <w:t>、</w:t>
      </w:r>
      <w:r>
        <w:rPr>
          <w:rFonts w:hint="eastAsia"/>
          <w:b/>
          <w:sz w:val="24"/>
          <w:szCs w:val="18"/>
        </w:rPr>
        <w:t>其他事项说明</w:t>
      </w:r>
      <w:bookmarkEnd w:id="27"/>
      <w:bookmarkEnd w:id="28"/>
      <w:bookmarkEnd w:id="29"/>
      <w:bookmarkEnd w:id="30"/>
    </w:p>
    <w:p w14:paraId="7F70E5A4">
      <w:pPr>
        <w:spacing w:line="360" w:lineRule="auto"/>
        <w:ind w:firstLine="437"/>
        <w:rPr>
          <w:rFonts w:cs="宋体"/>
          <w:sz w:val="24"/>
          <w:szCs w:val="18"/>
        </w:rPr>
      </w:pPr>
      <w:r>
        <w:rPr>
          <w:rFonts w:hint="eastAsia" w:cs="宋体"/>
          <w:sz w:val="24"/>
          <w:szCs w:val="18"/>
        </w:rPr>
        <w:t>1.本项目相关信息同时在</w:t>
      </w:r>
      <w:r>
        <w:rPr>
          <w:rFonts w:hint="eastAsia" w:cs="宋体"/>
          <w:sz w:val="24"/>
          <w:szCs w:val="18"/>
          <w:lang w:val="en-US" w:eastAsia="zh-CN"/>
        </w:rPr>
        <w:t>肥西县公共资源交易有限责任公司</w:t>
      </w:r>
      <w:r>
        <w:rPr>
          <w:rFonts w:hint="eastAsia" w:cs="宋体"/>
          <w:sz w:val="24"/>
          <w:szCs w:val="18"/>
        </w:rPr>
        <w:t>、优质采云采购平台、安徽省招标投标信息网、中国采购与招标网上发布；</w:t>
      </w:r>
    </w:p>
    <w:p w14:paraId="433BA910">
      <w:pPr>
        <w:spacing w:line="360" w:lineRule="auto"/>
        <w:ind w:firstLine="437"/>
        <w:rPr>
          <w:rFonts w:cs="宋体"/>
          <w:sz w:val="24"/>
          <w:szCs w:val="18"/>
        </w:rPr>
      </w:pPr>
      <w:r>
        <w:rPr>
          <w:rFonts w:hint="eastAsia" w:cs="宋体"/>
          <w:sz w:val="24"/>
          <w:szCs w:val="18"/>
        </w:rPr>
        <w:t>2.电子化交易要求：</w:t>
      </w:r>
    </w:p>
    <w:p w14:paraId="77159D5F">
      <w:pPr>
        <w:spacing w:line="360" w:lineRule="auto"/>
        <w:ind w:firstLine="437"/>
        <w:rPr>
          <w:rFonts w:cs="宋体"/>
          <w:sz w:val="24"/>
          <w:szCs w:val="18"/>
        </w:rPr>
      </w:pPr>
      <w:r>
        <w:rPr>
          <w:rFonts w:hint="eastAsia" w:cs="宋体"/>
          <w:sz w:val="24"/>
          <w:szCs w:val="18"/>
        </w:rPr>
        <w:t>（1）潜在</w:t>
      </w:r>
      <w:r>
        <w:rPr>
          <w:rFonts w:hint="eastAsia"/>
          <w:sz w:val="24"/>
          <w:szCs w:val="18"/>
        </w:rPr>
        <w:t>供应商</w:t>
      </w:r>
      <w:r>
        <w:rPr>
          <w:rFonts w:hint="eastAsia" w:cs="宋体"/>
          <w:sz w:val="24"/>
          <w:szCs w:val="18"/>
        </w:rPr>
        <w:t>须登录“优质采云采购平台”（网址：http://www.youzhicai.com/，以下称“优质采平台”）参与本项目磋商活动。首次登录须办理注册手续，请务必选择注册为“</w:t>
      </w:r>
      <w:r>
        <w:rPr>
          <w:rFonts w:hint="eastAsia" w:cs="宋体"/>
          <w:sz w:val="24"/>
          <w:szCs w:val="18"/>
          <w:lang w:val="en-US" w:eastAsia="zh-CN"/>
        </w:rPr>
        <w:t>投标人</w:t>
      </w:r>
      <w:r>
        <w:rPr>
          <w:rFonts w:hint="eastAsia" w:cs="宋体"/>
          <w:sz w:val="24"/>
          <w:szCs w:val="18"/>
        </w:rPr>
        <w:t>角色”类型。注册流程见优质采平台“用户注册”栏目，咨询电话：400-0099-555。因未及时办理注册手续影响参加磋商活动的，责任自负。</w:t>
      </w:r>
    </w:p>
    <w:p w14:paraId="608C8E80">
      <w:pPr>
        <w:spacing w:line="360" w:lineRule="auto"/>
        <w:ind w:firstLine="437"/>
        <w:rPr>
          <w:rFonts w:cs="宋体"/>
          <w:sz w:val="24"/>
          <w:szCs w:val="18"/>
        </w:rPr>
      </w:pPr>
      <w:r>
        <w:rPr>
          <w:rFonts w:hint="eastAsia" w:cs="宋体"/>
          <w:sz w:val="24"/>
          <w:szCs w:val="18"/>
        </w:rPr>
        <w:t>（2）已注册的潜在</w:t>
      </w:r>
      <w:r>
        <w:rPr>
          <w:rFonts w:hint="eastAsia"/>
          <w:sz w:val="24"/>
          <w:szCs w:val="18"/>
        </w:rPr>
        <w:t>供应商</w:t>
      </w:r>
      <w:r>
        <w:rPr>
          <w:rFonts w:hint="eastAsia" w:cs="宋体"/>
          <w:sz w:val="24"/>
          <w:szCs w:val="18"/>
        </w:rPr>
        <w:t>可登录优质采平台获取磋商文件，本项目的磋商文件及其他资料（含澄清、答疑及相关补充文件）通过优质采平台发布，</w:t>
      </w:r>
      <w:r>
        <w:rPr>
          <w:sz w:val="24"/>
          <w:szCs w:val="18"/>
        </w:rPr>
        <w:t>业主</w:t>
      </w:r>
      <w:r>
        <w:rPr>
          <w:rFonts w:hint="eastAsia"/>
          <w:sz w:val="24"/>
          <w:szCs w:val="18"/>
        </w:rPr>
        <w:t>单位</w:t>
      </w:r>
      <w:r>
        <w:rPr>
          <w:rFonts w:hint="eastAsia" w:cs="宋体"/>
          <w:sz w:val="24"/>
          <w:szCs w:val="18"/>
        </w:rPr>
        <w:t>/代理机构不再另行书面通知，潜在</w:t>
      </w:r>
      <w:r>
        <w:rPr>
          <w:rFonts w:hint="eastAsia"/>
          <w:sz w:val="24"/>
          <w:szCs w:val="18"/>
        </w:rPr>
        <w:t>供应商</w:t>
      </w:r>
      <w:r>
        <w:rPr>
          <w:rFonts w:hint="eastAsia" w:cs="宋体"/>
          <w:sz w:val="24"/>
          <w:szCs w:val="18"/>
        </w:rPr>
        <w:t>应及时关注、查阅优质采平台。因未及时查看导致不利后果的，责任自负。</w:t>
      </w:r>
    </w:p>
    <w:p w14:paraId="07BF3DC2">
      <w:pPr>
        <w:spacing w:line="360" w:lineRule="auto"/>
        <w:ind w:firstLine="437"/>
        <w:rPr>
          <w:rFonts w:cs="宋体"/>
          <w:sz w:val="24"/>
          <w:szCs w:val="18"/>
        </w:rPr>
      </w:pPr>
      <w:r>
        <w:rPr>
          <w:rFonts w:hint="eastAsia" w:cs="宋体"/>
          <w:sz w:val="24"/>
          <w:szCs w:val="18"/>
        </w:rPr>
        <w:t>（3）已注册的潜在</w:t>
      </w:r>
      <w:r>
        <w:rPr>
          <w:rFonts w:hint="eastAsia"/>
          <w:sz w:val="24"/>
          <w:szCs w:val="18"/>
        </w:rPr>
        <w:t>供应商</w:t>
      </w:r>
      <w:r>
        <w:rPr>
          <w:rFonts w:hint="eastAsia" w:cs="宋体"/>
          <w:sz w:val="24"/>
          <w:szCs w:val="18"/>
        </w:rPr>
        <w:t>若注册信息发生变更（如：与初始注册信息不一致），应及时网上提交变更申请。因未及时变更导致不利后果的，责任自负。</w:t>
      </w:r>
    </w:p>
    <w:p w14:paraId="0B9F1D45">
      <w:pPr>
        <w:spacing w:line="360" w:lineRule="auto"/>
        <w:ind w:firstLine="437"/>
        <w:rPr>
          <w:rFonts w:cs="宋体"/>
          <w:sz w:val="24"/>
          <w:szCs w:val="18"/>
        </w:rPr>
      </w:pPr>
      <w:r>
        <w:rPr>
          <w:rFonts w:hint="eastAsia" w:cs="宋体"/>
          <w:sz w:val="24"/>
          <w:szCs w:val="18"/>
        </w:rPr>
        <w:t>（4）本项目采用全流程电子化磋商方式，潜在</w:t>
      </w:r>
      <w:r>
        <w:rPr>
          <w:rFonts w:hint="eastAsia"/>
          <w:sz w:val="24"/>
          <w:szCs w:val="18"/>
        </w:rPr>
        <w:t>供应商</w:t>
      </w:r>
      <w:r>
        <w:rPr>
          <w:rFonts w:hint="eastAsia" w:cs="宋体"/>
          <w:sz w:val="24"/>
          <w:szCs w:val="18"/>
        </w:rPr>
        <w:t>须办理CA数字证书（以下简称CA），CA用于响应文件的签章及上传（上传响应文件需使用CA进行加密）；CA办理详见《关于优质采平台数字证书办理的须知》（http://www.youzhicai.com/nd/a_8f80a7ec-911f-4c4d-a123-f8849880f045.html）；咨询热线：400-0099-555。CA锁线上办理地址：https://portal.youzhicai.com/ui/portal-sup/#/signature/list</w:t>
      </w:r>
    </w:p>
    <w:p w14:paraId="15ACF14B">
      <w:pPr>
        <w:spacing w:line="360" w:lineRule="auto"/>
        <w:ind w:firstLine="437"/>
        <w:rPr>
          <w:rFonts w:cs="宋体"/>
          <w:sz w:val="24"/>
          <w:szCs w:val="18"/>
        </w:rPr>
      </w:pPr>
      <w:r>
        <w:rPr>
          <w:rFonts w:hint="eastAsia" w:cs="宋体"/>
          <w:sz w:val="24"/>
          <w:szCs w:val="18"/>
        </w:rPr>
        <w:t>（5）响应文件必须使用“优质采</w:t>
      </w:r>
      <w:r>
        <w:rPr>
          <w:rFonts w:hint="eastAsia" w:cs="宋体"/>
          <w:sz w:val="24"/>
          <w:szCs w:val="18"/>
          <w:lang w:eastAsia="zh-CN"/>
        </w:rPr>
        <w:t>响应文件</w:t>
      </w:r>
      <w:r>
        <w:rPr>
          <w:rFonts w:hint="eastAsia" w:cs="宋体"/>
          <w:sz w:val="24"/>
          <w:szCs w:val="18"/>
        </w:rPr>
        <w:t>制作工具”制作生成并上传。下载地址：http://toolcdn.youzhicai.com/tools/BidderTools.zip，使用说明书及视频教程下载地址:http://file.youzhicai.com/files/BidderHelp.rar。</w:t>
      </w:r>
    </w:p>
    <w:p w14:paraId="7A507F64">
      <w:pPr>
        <w:spacing w:line="360" w:lineRule="auto"/>
        <w:ind w:firstLine="437"/>
      </w:pPr>
      <w:r>
        <w:rPr>
          <w:rFonts w:hint="eastAsia" w:cs="宋体"/>
          <w:sz w:val="24"/>
          <w:szCs w:val="18"/>
        </w:rPr>
        <w:t>3.</w:t>
      </w:r>
      <w:r>
        <w:rPr>
          <w:rFonts w:hint="eastAsia"/>
          <w:sz w:val="24"/>
          <w:szCs w:val="18"/>
        </w:rPr>
        <w:t xml:space="preserve"> 供应商</w:t>
      </w:r>
      <w:r>
        <w:rPr>
          <w:rFonts w:hint="eastAsia" w:cs="宋体"/>
          <w:sz w:val="24"/>
          <w:szCs w:val="18"/>
        </w:rPr>
        <w:t>应合理安排磋商文件获取时间，特别是网络速度慢的地区防止在系统关闭前网络拥堵无法操作。如果因计算机及网络故障造成无法完成磋商文件获取，责任自负。</w:t>
      </w:r>
    </w:p>
    <w:bookmarkEnd w:id="6"/>
    <w:p w14:paraId="1A16ECFC">
      <w:pPr>
        <w:spacing w:line="360" w:lineRule="auto"/>
        <w:jc w:val="center"/>
        <w:outlineLvl w:val="0"/>
        <w:rPr>
          <w:b/>
          <w:sz w:val="28"/>
        </w:rPr>
      </w:pPr>
      <w:r>
        <w:rPr>
          <w:rFonts w:hint="eastAsia" w:cs="宋体"/>
          <w:sz w:val="24"/>
          <w:szCs w:val="18"/>
        </w:rPr>
        <w:br w:type="page"/>
      </w:r>
      <w:bookmarkStart w:id="31" w:name="_Toc6374"/>
      <w:r>
        <w:rPr>
          <w:rFonts w:hint="eastAsia"/>
          <w:b/>
          <w:sz w:val="28"/>
        </w:rPr>
        <w:t>第二章</w:t>
      </w:r>
      <w:r>
        <w:rPr>
          <w:b/>
          <w:sz w:val="28"/>
        </w:rPr>
        <w:t xml:space="preserve"> </w:t>
      </w:r>
      <w:r>
        <w:rPr>
          <w:rFonts w:hint="eastAsia"/>
          <w:b/>
          <w:sz w:val="28"/>
        </w:rPr>
        <w:t xml:space="preserve"> 供应商</w:t>
      </w:r>
      <w:r>
        <w:rPr>
          <w:b/>
          <w:sz w:val="28"/>
        </w:rPr>
        <w:t>须知</w:t>
      </w:r>
      <w:bookmarkEnd w:id="31"/>
    </w:p>
    <w:p w14:paraId="0E6322C2">
      <w:pPr>
        <w:spacing w:line="360" w:lineRule="auto"/>
        <w:jc w:val="center"/>
        <w:outlineLvl w:val="1"/>
        <w:rPr>
          <w:b/>
          <w:sz w:val="24"/>
        </w:rPr>
      </w:pPr>
      <w:bookmarkStart w:id="32" w:name="_Toc29910"/>
      <w:bookmarkStart w:id="33" w:name="_Toc6477"/>
      <w:bookmarkStart w:id="34" w:name="_Toc542"/>
      <w:bookmarkStart w:id="35" w:name="_Toc4358"/>
      <w:r>
        <w:rPr>
          <w:rFonts w:hint="eastAsia"/>
          <w:b/>
          <w:sz w:val="24"/>
        </w:rPr>
        <w:t>一、供应商</w:t>
      </w:r>
      <w:r>
        <w:rPr>
          <w:b/>
          <w:sz w:val="24"/>
        </w:rPr>
        <w:t>须知前附表</w:t>
      </w:r>
      <w:bookmarkEnd w:id="32"/>
      <w:bookmarkEnd w:id="33"/>
      <w:bookmarkEnd w:id="34"/>
      <w:bookmarkEnd w:id="35"/>
    </w:p>
    <w:p w14:paraId="235BAD35">
      <w:pPr>
        <w:spacing w:line="360" w:lineRule="auto"/>
        <w:ind w:firstLine="435"/>
        <w:rPr>
          <w:sz w:val="24"/>
          <w:szCs w:val="18"/>
        </w:rPr>
      </w:pPr>
      <w:r>
        <w:rPr>
          <w:rFonts w:hint="eastAsia"/>
          <w:b/>
          <w:bCs/>
          <w:sz w:val="24"/>
          <w:szCs w:val="18"/>
        </w:rPr>
        <w:t>注：</w:t>
      </w:r>
      <w:r>
        <w:rPr>
          <w:rFonts w:hint="eastAsia"/>
          <w:sz w:val="24"/>
          <w:szCs w:val="18"/>
        </w:rPr>
        <w:t>本表是本项目的具体要求，是对供应商须知的具体补充和修改，如有不一致，以本表为准。</w:t>
      </w:r>
    </w:p>
    <w:tbl>
      <w:tblPr>
        <w:tblStyle w:val="22"/>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9"/>
        <w:gridCol w:w="2031"/>
        <w:gridCol w:w="6020"/>
      </w:tblGrid>
      <w:tr w14:paraId="62B1A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2BC061E">
            <w:pPr>
              <w:pStyle w:val="39"/>
              <w:widowControl w:val="0"/>
              <w:spacing w:before="0" w:beforeAutospacing="0" w:after="0" w:afterAutospacing="0" w:line="360" w:lineRule="auto"/>
              <w:rPr>
                <w:bCs w:val="0"/>
                <w:kern w:val="2"/>
                <w:sz w:val="24"/>
                <w:szCs w:val="20"/>
              </w:rPr>
            </w:pPr>
            <w:r>
              <w:rPr>
                <w:rFonts w:hint="eastAsia"/>
                <w:bCs w:val="0"/>
                <w:kern w:val="2"/>
                <w:sz w:val="24"/>
                <w:szCs w:val="20"/>
              </w:rPr>
              <w:t>条款号</w:t>
            </w:r>
          </w:p>
        </w:tc>
        <w:tc>
          <w:tcPr>
            <w:tcW w:w="2031" w:type="dxa"/>
            <w:vAlign w:val="center"/>
          </w:tcPr>
          <w:p w14:paraId="093A2DF5">
            <w:pPr>
              <w:pStyle w:val="39"/>
              <w:widowControl w:val="0"/>
              <w:spacing w:before="0" w:beforeAutospacing="0" w:after="0" w:afterAutospacing="0" w:line="360" w:lineRule="auto"/>
              <w:rPr>
                <w:bCs w:val="0"/>
                <w:kern w:val="2"/>
                <w:sz w:val="24"/>
                <w:szCs w:val="20"/>
              </w:rPr>
            </w:pPr>
            <w:r>
              <w:rPr>
                <w:rFonts w:hint="eastAsia"/>
                <w:bCs w:val="0"/>
                <w:kern w:val="2"/>
                <w:sz w:val="24"/>
                <w:szCs w:val="20"/>
              </w:rPr>
              <w:t>条款名称</w:t>
            </w:r>
          </w:p>
        </w:tc>
        <w:tc>
          <w:tcPr>
            <w:tcW w:w="6020" w:type="dxa"/>
            <w:vAlign w:val="center"/>
          </w:tcPr>
          <w:p w14:paraId="6EAEE4A6">
            <w:pPr>
              <w:pStyle w:val="39"/>
              <w:widowControl w:val="0"/>
              <w:spacing w:before="0" w:beforeAutospacing="0" w:after="0" w:afterAutospacing="0" w:line="360" w:lineRule="auto"/>
              <w:rPr>
                <w:bCs w:val="0"/>
                <w:kern w:val="2"/>
                <w:sz w:val="24"/>
                <w:szCs w:val="20"/>
              </w:rPr>
            </w:pPr>
            <w:r>
              <w:rPr>
                <w:rFonts w:hint="eastAsia"/>
                <w:bCs w:val="0"/>
                <w:kern w:val="2"/>
                <w:sz w:val="24"/>
                <w:szCs w:val="20"/>
              </w:rPr>
              <w:t>内容、说明与要求</w:t>
            </w:r>
          </w:p>
        </w:tc>
      </w:tr>
      <w:tr w14:paraId="18A0D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E0D9BA0">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1</w:t>
            </w:r>
          </w:p>
        </w:tc>
        <w:tc>
          <w:tcPr>
            <w:tcW w:w="2031" w:type="dxa"/>
            <w:vAlign w:val="center"/>
          </w:tcPr>
          <w:p w14:paraId="56D86034">
            <w:pPr>
              <w:pStyle w:val="39"/>
              <w:widowControl w:val="0"/>
              <w:spacing w:before="0" w:beforeAutospacing="0" w:after="0" w:afterAutospacing="0" w:line="360" w:lineRule="auto"/>
              <w:jc w:val="left"/>
              <w:rPr>
                <w:b w:val="0"/>
                <w:bCs w:val="0"/>
                <w:sz w:val="24"/>
              </w:rPr>
            </w:pPr>
            <w:r>
              <w:rPr>
                <w:b w:val="0"/>
                <w:sz w:val="24"/>
                <w:szCs w:val="18"/>
              </w:rPr>
              <w:t>业主</w:t>
            </w:r>
            <w:r>
              <w:rPr>
                <w:rFonts w:hint="eastAsia"/>
                <w:b w:val="0"/>
                <w:sz w:val="24"/>
                <w:szCs w:val="18"/>
              </w:rPr>
              <w:t>单位</w:t>
            </w:r>
          </w:p>
        </w:tc>
        <w:tc>
          <w:tcPr>
            <w:tcW w:w="6020" w:type="dxa"/>
            <w:vAlign w:val="center"/>
          </w:tcPr>
          <w:p w14:paraId="7A95FA81">
            <w:pPr>
              <w:pStyle w:val="39"/>
              <w:widowControl w:val="0"/>
              <w:spacing w:before="0" w:beforeAutospacing="0" w:after="0" w:afterAutospacing="0" w:line="360" w:lineRule="auto"/>
              <w:jc w:val="both"/>
              <w:rPr>
                <w:rFonts w:hint="eastAsia" w:eastAsia="宋体"/>
                <w:b w:val="0"/>
                <w:bCs w:val="0"/>
                <w:kern w:val="2"/>
                <w:sz w:val="24"/>
                <w:szCs w:val="20"/>
                <w:lang w:eastAsia="zh-CN"/>
              </w:rPr>
            </w:pPr>
            <w:r>
              <w:rPr>
                <w:rFonts w:hint="eastAsia"/>
                <w:b w:val="0"/>
                <w:bCs w:val="0"/>
                <w:sz w:val="24"/>
                <w:szCs w:val="18"/>
                <w:u w:val="single"/>
                <w:lang w:eastAsia="zh-CN"/>
              </w:rPr>
              <w:t>肥西县住房和城乡建设局</w:t>
            </w:r>
          </w:p>
        </w:tc>
      </w:tr>
      <w:tr w14:paraId="0A6C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6DA96E5">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2</w:t>
            </w:r>
          </w:p>
        </w:tc>
        <w:tc>
          <w:tcPr>
            <w:tcW w:w="2031" w:type="dxa"/>
            <w:vAlign w:val="center"/>
          </w:tcPr>
          <w:p w14:paraId="7A691D6C">
            <w:pPr>
              <w:pStyle w:val="39"/>
              <w:widowControl w:val="0"/>
              <w:spacing w:before="0" w:beforeAutospacing="0" w:after="0" w:afterAutospacing="0" w:line="360" w:lineRule="auto"/>
              <w:jc w:val="left"/>
              <w:rPr>
                <w:b w:val="0"/>
                <w:bCs w:val="0"/>
                <w:sz w:val="24"/>
              </w:rPr>
            </w:pPr>
            <w:r>
              <w:rPr>
                <w:rFonts w:hint="eastAsia"/>
                <w:b w:val="0"/>
                <w:bCs w:val="0"/>
                <w:sz w:val="24"/>
              </w:rPr>
              <w:t>代理机构</w:t>
            </w:r>
          </w:p>
        </w:tc>
        <w:tc>
          <w:tcPr>
            <w:tcW w:w="6020" w:type="dxa"/>
            <w:vAlign w:val="center"/>
          </w:tcPr>
          <w:p w14:paraId="4F95E5B9">
            <w:pPr>
              <w:pStyle w:val="39"/>
              <w:widowControl w:val="0"/>
              <w:spacing w:before="0" w:beforeAutospacing="0" w:after="0" w:afterAutospacing="0" w:line="360" w:lineRule="auto"/>
              <w:jc w:val="both"/>
              <w:rPr>
                <w:rFonts w:hint="eastAsia" w:eastAsia="宋体"/>
                <w:b w:val="0"/>
                <w:bCs w:val="0"/>
                <w:sz w:val="24"/>
                <w:szCs w:val="18"/>
                <w:lang w:eastAsia="zh-CN"/>
              </w:rPr>
            </w:pPr>
            <w:r>
              <w:rPr>
                <w:rFonts w:hint="eastAsia"/>
                <w:b w:val="0"/>
                <w:bCs w:val="0"/>
                <w:sz w:val="24"/>
                <w:szCs w:val="18"/>
                <w:u w:val="single"/>
                <w:lang w:eastAsia="zh-CN"/>
              </w:rPr>
              <w:t>肥西县派合商务服务有限公司</w:t>
            </w:r>
          </w:p>
        </w:tc>
      </w:tr>
      <w:tr w14:paraId="21C07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DE5FBF9">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3</w:t>
            </w:r>
          </w:p>
        </w:tc>
        <w:tc>
          <w:tcPr>
            <w:tcW w:w="2031" w:type="dxa"/>
            <w:vAlign w:val="center"/>
          </w:tcPr>
          <w:p w14:paraId="57492526">
            <w:pPr>
              <w:pStyle w:val="39"/>
              <w:widowControl w:val="0"/>
              <w:spacing w:before="0" w:beforeAutospacing="0" w:after="0" w:afterAutospacing="0"/>
              <w:jc w:val="left"/>
              <w:rPr>
                <w:rFonts w:hint="eastAsia" w:eastAsia="宋体"/>
                <w:b w:val="0"/>
                <w:sz w:val="24"/>
                <w:lang w:eastAsia="zh-CN"/>
              </w:rPr>
            </w:pPr>
            <w:r>
              <w:rPr>
                <w:rFonts w:hint="eastAsia"/>
                <w:b w:val="0"/>
                <w:sz w:val="24"/>
              </w:rPr>
              <w:t>现场</w:t>
            </w:r>
            <w:r>
              <w:rPr>
                <w:rFonts w:hint="eastAsia"/>
                <w:b w:val="0"/>
                <w:sz w:val="24"/>
                <w:lang w:val="en-US" w:eastAsia="zh-CN"/>
              </w:rPr>
              <w:t>踏勘</w:t>
            </w:r>
          </w:p>
        </w:tc>
        <w:tc>
          <w:tcPr>
            <w:tcW w:w="6020" w:type="dxa"/>
            <w:vAlign w:val="center"/>
          </w:tcPr>
          <w:p w14:paraId="5DAEBDBB">
            <w:pPr>
              <w:spacing w:line="500" w:lineRule="exact"/>
              <w:rPr>
                <w:sz w:val="24"/>
              </w:rPr>
            </w:pPr>
            <w:r>
              <w:rPr>
                <w:rFonts w:ascii="Segoe UI Symbol" w:hAnsi="Segoe UI Symbol" w:cs="Segoe UI Symbol"/>
                <w:sz w:val="24"/>
                <w:szCs w:val="24"/>
              </w:rPr>
              <w:t>☑</w:t>
            </w:r>
            <w:r>
              <w:rPr>
                <w:rFonts w:hint="eastAsia"/>
                <w:sz w:val="24"/>
              </w:rPr>
              <w:t>不组织</w:t>
            </w:r>
          </w:p>
        </w:tc>
      </w:tr>
      <w:tr w14:paraId="39605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EB5F03F">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4</w:t>
            </w:r>
          </w:p>
        </w:tc>
        <w:tc>
          <w:tcPr>
            <w:tcW w:w="2031" w:type="dxa"/>
            <w:vAlign w:val="center"/>
          </w:tcPr>
          <w:p w14:paraId="0D64D09B">
            <w:pPr>
              <w:pStyle w:val="39"/>
              <w:widowControl w:val="0"/>
              <w:spacing w:before="0" w:beforeAutospacing="0" w:after="0" w:afterAutospacing="0" w:line="360" w:lineRule="auto"/>
              <w:jc w:val="left"/>
              <w:rPr>
                <w:b w:val="0"/>
                <w:sz w:val="24"/>
              </w:rPr>
            </w:pPr>
            <w:r>
              <w:rPr>
                <w:rFonts w:hint="eastAsia"/>
                <w:b w:val="0"/>
                <w:sz w:val="24"/>
              </w:rPr>
              <w:t>网上询问截止时间</w:t>
            </w:r>
          </w:p>
        </w:tc>
        <w:tc>
          <w:tcPr>
            <w:tcW w:w="6020" w:type="dxa"/>
            <w:vAlign w:val="center"/>
          </w:tcPr>
          <w:p w14:paraId="0C0A60C7">
            <w:pPr>
              <w:pStyle w:val="39"/>
              <w:widowControl w:val="0"/>
              <w:spacing w:before="0" w:beforeAutospacing="0" w:after="0" w:afterAutospacing="0" w:line="360" w:lineRule="auto"/>
              <w:jc w:val="both"/>
              <w:rPr>
                <w:b w:val="0"/>
                <w:sz w:val="24"/>
              </w:rPr>
            </w:pPr>
            <w:r>
              <w:rPr>
                <w:rFonts w:hint="eastAsia"/>
                <w:b w:val="0"/>
                <w:sz w:val="24"/>
                <w:u w:val="single"/>
              </w:rPr>
              <w:t>202</w:t>
            </w:r>
            <w:r>
              <w:rPr>
                <w:rFonts w:hint="eastAsia"/>
                <w:b w:val="0"/>
                <w:sz w:val="24"/>
                <w:u w:val="single"/>
                <w:lang w:val="en-US" w:eastAsia="zh-CN"/>
              </w:rPr>
              <w:t>5</w:t>
            </w:r>
            <w:r>
              <w:rPr>
                <w:rFonts w:hint="eastAsia"/>
                <w:b w:val="0"/>
                <w:sz w:val="24"/>
              </w:rPr>
              <w:t>年</w:t>
            </w:r>
            <w:r>
              <w:rPr>
                <w:rFonts w:hint="eastAsia"/>
                <w:b w:val="0"/>
                <w:sz w:val="24"/>
                <w:u w:val="single"/>
                <w:lang w:val="en-US" w:eastAsia="zh-CN"/>
              </w:rPr>
              <w:t>09</w:t>
            </w:r>
            <w:r>
              <w:rPr>
                <w:rFonts w:hint="eastAsia"/>
                <w:b w:val="0"/>
                <w:sz w:val="24"/>
              </w:rPr>
              <w:t>月</w:t>
            </w:r>
            <w:r>
              <w:rPr>
                <w:rFonts w:hint="eastAsia"/>
                <w:b w:val="0"/>
                <w:sz w:val="24"/>
                <w:u w:val="single"/>
                <w:lang w:val="en-US" w:eastAsia="zh-CN"/>
              </w:rPr>
              <w:t>18</w:t>
            </w:r>
            <w:r>
              <w:rPr>
                <w:rFonts w:hint="eastAsia"/>
                <w:b w:val="0"/>
                <w:sz w:val="24"/>
              </w:rPr>
              <w:t>日17：30前接受网上答疑（逾期不予受理），疑问的提出与答疑获取详见磋商文件第二章供应商须知。</w:t>
            </w:r>
          </w:p>
          <w:p w14:paraId="096DC78E">
            <w:pPr>
              <w:pStyle w:val="39"/>
              <w:widowControl w:val="0"/>
              <w:spacing w:before="0" w:beforeAutospacing="0" w:after="0" w:afterAutospacing="0" w:line="360" w:lineRule="auto"/>
              <w:jc w:val="both"/>
              <w:rPr>
                <w:b w:val="0"/>
                <w:sz w:val="24"/>
              </w:rPr>
            </w:pPr>
            <w:r>
              <w:rPr>
                <w:rFonts w:hint="eastAsia"/>
                <w:b w:val="0"/>
                <w:sz w:val="24"/>
              </w:rPr>
              <w:t>供应商请注意：</w:t>
            </w:r>
            <w:r>
              <w:rPr>
                <w:rFonts w:hint="eastAsia"/>
                <w:b w:val="0"/>
                <w:sz w:val="24"/>
                <w:lang w:eastAsia="zh-CN"/>
              </w:rPr>
              <w:t>肥西县派合商务服务有限公司</w:t>
            </w:r>
            <w:r>
              <w:rPr>
                <w:rFonts w:hint="eastAsia"/>
                <w:b w:val="0"/>
                <w:sz w:val="24"/>
              </w:rPr>
              <w:t>对磋商文件进行的澄清、更正或更改，将在网站上及时发布，该公告内容为磋商文件的组成部分，对供应商具有同样约束力效力。供应商应主动上网查询。</w:t>
            </w:r>
            <w:r>
              <w:rPr>
                <w:rFonts w:hint="eastAsia"/>
                <w:b w:val="0"/>
                <w:sz w:val="24"/>
                <w:lang w:eastAsia="zh-CN"/>
              </w:rPr>
              <w:t>肥西县派合商务服务有限公司</w:t>
            </w:r>
            <w:r>
              <w:rPr>
                <w:rFonts w:hint="eastAsia"/>
                <w:b w:val="0"/>
                <w:sz w:val="24"/>
              </w:rPr>
              <w:t>不承担供应商未及时关注相关信息引发的相关责任。</w:t>
            </w:r>
          </w:p>
        </w:tc>
      </w:tr>
      <w:tr w14:paraId="0A56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999" w:type="dxa"/>
            <w:vAlign w:val="center"/>
          </w:tcPr>
          <w:p w14:paraId="687CE7E6">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5</w:t>
            </w:r>
          </w:p>
        </w:tc>
        <w:tc>
          <w:tcPr>
            <w:tcW w:w="2031" w:type="dxa"/>
            <w:vAlign w:val="center"/>
          </w:tcPr>
          <w:p w14:paraId="26E9D001">
            <w:pPr>
              <w:pStyle w:val="39"/>
              <w:widowControl w:val="0"/>
              <w:spacing w:before="0" w:beforeAutospacing="0" w:after="0" w:afterAutospacing="0" w:line="360" w:lineRule="auto"/>
              <w:jc w:val="both"/>
              <w:rPr>
                <w:b w:val="0"/>
                <w:sz w:val="24"/>
              </w:rPr>
            </w:pPr>
            <w:r>
              <w:rPr>
                <w:rFonts w:hint="eastAsia"/>
                <w:b w:val="0"/>
                <w:sz w:val="24"/>
              </w:rPr>
              <w:t>评审方法</w:t>
            </w:r>
          </w:p>
        </w:tc>
        <w:tc>
          <w:tcPr>
            <w:tcW w:w="6020" w:type="dxa"/>
            <w:vAlign w:val="center"/>
          </w:tcPr>
          <w:p w14:paraId="547B5E60">
            <w:pPr>
              <w:pStyle w:val="39"/>
              <w:widowControl w:val="0"/>
              <w:spacing w:before="0" w:beforeAutospacing="0" w:after="0" w:afterAutospacing="0" w:line="360" w:lineRule="auto"/>
              <w:jc w:val="both"/>
              <w:rPr>
                <w:b w:val="0"/>
                <w:sz w:val="24"/>
              </w:rPr>
            </w:pPr>
            <w:r>
              <w:rPr>
                <w:rFonts w:ascii="Segoe UI Symbol" w:hAnsi="Segoe UI Symbol" w:cs="Segoe UI Symbol"/>
                <w:b w:val="0"/>
                <w:bCs w:val="0"/>
                <w:sz w:val="24"/>
                <w:szCs w:val="24"/>
              </w:rPr>
              <w:t>☑</w:t>
            </w:r>
            <w:r>
              <w:rPr>
                <w:rFonts w:hint="eastAsia"/>
                <w:b w:val="0"/>
                <w:sz w:val="24"/>
                <w:u w:val="single"/>
              </w:rPr>
              <w:t>综合评分法</w:t>
            </w:r>
          </w:p>
        </w:tc>
      </w:tr>
      <w:tr w14:paraId="1FE7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5DD7E35C">
            <w:pPr>
              <w:pStyle w:val="40"/>
              <w:pBdr>
                <w:bottom w:val="none" w:color="auto" w:sz="0" w:space="0"/>
              </w:pBdr>
              <w:tabs>
                <w:tab w:val="clear" w:pos="4153"/>
                <w:tab w:val="clear" w:pos="8306"/>
              </w:tabs>
              <w:adjustRightInd/>
              <w:spacing w:line="360" w:lineRule="auto"/>
              <w:textAlignment w:val="auto"/>
              <w:rPr>
                <w:bCs/>
                <w:kern w:val="2"/>
              </w:rPr>
            </w:pPr>
            <w:r>
              <w:rPr>
                <w:rFonts w:hint="eastAsia"/>
                <w:bCs/>
                <w:kern w:val="2"/>
              </w:rPr>
              <w:t>6</w:t>
            </w:r>
          </w:p>
        </w:tc>
        <w:tc>
          <w:tcPr>
            <w:tcW w:w="2031" w:type="dxa"/>
            <w:vAlign w:val="center"/>
          </w:tcPr>
          <w:p w14:paraId="09F623AD">
            <w:pPr>
              <w:pStyle w:val="39"/>
              <w:widowControl w:val="0"/>
              <w:spacing w:before="0" w:beforeAutospacing="0" w:after="0" w:afterAutospacing="0" w:line="360" w:lineRule="auto"/>
              <w:jc w:val="left"/>
              <w:rPr>
                <w:b w:val="0"/>
                <w:sz w:val="24"/>
              </w:rPr>
            </w:pPr>
            <w:r>
              <w:rPr>
                <w:rFonts w:hint="eastAsia"/>
                <w:b w:val="0"/>
                <w:sz w:val="24"/>
              </w:rPr>
              <w:t>磋商保证金</w:t>
            </w:r>
          </w:p>
        </w:tc>
        <w:tc>
          <w:tcPr>
            <w:tcW w:w="6020" w:type="dxa"/>
            <w:vAlign w:val="center"/>
          </w:tcPr>
          <w:p w14:paraId="0B103E55">
            <w:pPr>
              <w:spacing w:line="360" w:lineRule="auto"/>
              <w:jc w:val="left"/>
              <w:rPr>
                <w:rFonts w:cs="宋体"/>
                <w:sz w:val="24"/>
              </w:rPr>
            </w:pPr>
            <w:r>
              <w:rPr>
                <w:rFonts w:hint="eastAsia" w:cs="宋体"/>
                <w:sz w:val="24"/>
              </w:rPr>
              <w:t>是否要求</w:t>
            </w:r>
            <w:r>
              <w:rPr>
                <w:rFonts w:hint="eastAsia"/>
                <w:sz w:val="24"/>
              </w:rPr>
              <w:t>供应商</w:t>
            </w:r>
            <w:r>
              <w:rPr>
                <w:rFonts w:hint="eastAsia" w:cs="宋体"/>
                <w:sz w:val="24"/>
              </w:rPr>
              <w:t>递交磋商保证金：</w:t>
            </w:r>
            <w:r>
              <w:rPr>
                <w:rFonts w:hint="eastAsia" w:cs="宋体"/>
                <w:b/>
                <w:bCs/>
                <w:sz w:val="24"/>
                <w:lang w:eastAsia="zh-CN"/>
              </w:rPr>
              <w:t>☑</w:t>
            </w:r>
            <w:r>
              <w:rPr>
                <w:rFonts w:hint="eastAsia" w:cs="宋体"/>
                <w:sz w:val="24"/>
              </w:rPr>
              <w:t>不要求</w:t>
            </w:r>
            <w:r>
              <w:rPr>
                <w:rFonts w:hint="eastAsia" w:cs="宋体"/>
                <w:sz w:val="24"/>
                <w:lang w:val="en-US" w:eastAsia="zh-CN"/>
              </w:rPr>
              <w:t xml:space="preserve"> </w:t>
            </w:r>
            <w:r>
              <w:rPr>
                <w:rFonts w:hint="eastAsia" w:ascii="Segoe UI Symbol" w:hAnsi="Segoe UI Symbol" w:cs="Segoe UI Symbol"/>
                <w:b w:val="0"/>
                <w:bCs w:val="0"/>
                <w:sz w:val="24"/>
                <w:lang w:eastAsia="zh-CN"/>
              </w:rPr>
              <w:t>□</w:t>
            </w:r>
            <w:r>
              <w:rPr>
                <w:rFonts w:hint="eastAsia" w:cs="宋体"/>
                <w:b w:val="0"/>
                <w:bCs w:val="0"/>
                <w:sz w:val="24"/>
              </w:rPr>
              <w:t>要求</w:t>
            </w:r>
          </w:p>
        </w:tc>
      </w:tr>
      <w:tr w14:paraId="52C8A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999" w:type="dxa"/>
            <w:vAlign w:val="center"/>
          </w:tcPr>
          <w:p w14:paraId="4818F2BB">
            <w:pPr>
              <w:pStyle w:val="40"/>
              <w:pBdr>
                <w:bottom w:val="none" w:color="auto" w:sz="0" w:space="0"/>
              </w:pBdr>
              <w:tabs>
                <w:tab w:val="clear" w:pos="4153"/>
                <w:tab w:val="clear" w:pos="8306"/>
              </w:tabs>
              <w:adjustRightInd/>
              <w:spacing w:line="360" w:lineRule="auto"/>
              <w:textAlignment w:val="auto"/>
              <w:rPr>
                <w:rFonts w:hint="eastAsia"/>
                <w:bCs/>
                <w:kern w:val="2"/>
              </w:rPr>
            </w:pPr>
            <w:r>
              <w:rPr>
                <w:rFonts w:hint="eastAsia"/>
                <w:bCs/>
                <w:kern w:val="2"/>
                <w:lang w:val="en-US" w:eastAsia="zh-CN"/>
              </w:rPr>
              <w:t>7</w:t>
            </w:r>
          </w:p>
        </w:tc>
        <w:tc>
          <w:tcPr>
            <w:tcW w:w="2031" w:type="dxa"/>
            <w:vAlign w:val="center"/>
          </w:tcPr>
          <w:p w14:paraId="09501C0A">
            <w:pPr>
              <w:keepNext w:val="0"/>
              <w:keepLines w:val="0"/>
              <w:pageBreakBefore w:val="0"/>
              <w:widowControl w:val="0"/>
              <w:kinsoku/>
              <w:wordWrap/>
              <w:overflowPunct/>
              <w:topLinePunct w:val="0"/>
              <w:autoSpaceDE/>
              <w:autoSpaceDN/>
              <w:bidi w:val="0"/>
              <w:adjustRightInd/>
              <w:spacing w:line="460" w:lineRule="exact"/>
              <w:jc w:val="both"/>
              <w:textAlignment w:val="auto"/>
              <w:rPr>
                <w:rFonts w:hint="eastAsia"/>
                <w:b w:val="0"/>
                <w:sz w:val="24"/>
              </w:rPr>
            </w:pPr>
            <w:r>
              <w:rPr>
                <w:rFonts w:hint="eastAsia" w:cs="宋体"/>
                <w:sz w:val="24"/>
                <w:szCs w:val="24"/>
                <w:highlight w:val="none"/>
                <w:lang w:val="en-US" w:eastAsia="zh-CN"/>
              </w:rPr>
              <w:t>电子交易服务费</w:t>
            </w:r>
          </w:p>
        </w:tc>
        <w:tc>
          <w:tcPr>
            <w:tcW w:w="6020" w:type="dxa"/>
            <w:vAlign w:val="center"/>
          </w:tcPr>
          <w:p w14:paraId="344204C0">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金额：人民币200元，售后不退</w:t>
            </w:r>
          </w:p>
          <w:p w14:paraId="3C34BE43">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交纳形式：</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 xml:space="preserve">银行转账  </w:t>
            </w:r>
            <w:r>
              <w:rPr>
                <w:rFonts w:hint="eastAsia" w:ascii="宋体" w:hAnsi="宋体" w:eastAsia="宋体" w:cs="@仿宋_GB2312"/>
                <w:b w:val="0"/>
                <w:bCs w:val="0"/>
                <w:kern w:val="2"/>
                <w:sz w:val="24"/>
                <w:szCs w:val="18"/>
                <w:highlight w:val="none"/>
                <w:lang w:val="en-US" w:eastAsia="zh-CN" w:bidi="ar-SA"/>
              </w:rPr>
              <w:sym w:font="Wingdings" w:char="00FE"/>
            </w:r>
            <w:r>
              <w:rPr>
                <w:rFonts w:hint="eastAsia" w:ascii="宋体" w:hAnsi="宋体" w:eastAsia="宋体" w:cs="@仿宋_GB2312"/>
                <w:b w:val="0"/>
                <w:bCs w:val="0"/>
                <w:kern w:val="2"/>
                <w:sz w:val="24"/>
                <w:szCs w:val="18"/>
                <w:highlight w:val="none"/>
                <w:lang w:val="en-US" w:eastAsia="zh-CN" w:bidi="ar-SA"/>
              </w:rPr>
              <w:t>银行电汇</w:t>
            </w:r>
          </w:p>
          <w:p w14:paraId="7ADFBFF9">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 xml:space="preserve">递交要求： </w:t>
            </w:r>
          </w:p>
          <w:p w14:paraId="2E7C587C">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①</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的到账截止时间：同</w:t>
            </w:r>
            <w:r>
              <w:rPr>
                <w:rFonts w:hint="eastAsia" w:cs="@仿宋_GB2312"/>
                <w:b w:val="0"/>
                <w:bCs w:val="0"/>
                <w:kern w:val="2"/>
                <w:sz w:val="24"/>
                <w:szCs w:val="18"/>
                <w:highlight w:val="none"/>
                <w:lang w:val="en-US" w:eastAsia="zh-CN" w:bidi="ar-SA"/>
              </w:rPr>
              <w:t>磋商</w:t>
            </w:r>
            <w:r>
              <w:rPr>
                <w:rFonts w:hint="eastAsia" w:ascii="宋体" w:hAnsi="宋体" w:eastAsia="宋体" w:cs="@仿宋_GB2312"/>
                <w:b w:val="0"/>
                <w:bCs w:val="0"/>
                <w:kern w:val="2"/>
                <w:sz w:val="24"/>
                <w:szCs w:val="18"/>
                <w:highlight w:val="none"/>
                <w:lang w:val="en-US" w:eastAsia="zh-CN" w:bidi="ar-SA"/>
              </w:rPr>
              <w:t>时间。</w:t>
            </w:r>
          </w:p>
          <w:p w14:paraId="0FB74BA4">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②</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应当从</w:t>
            </w: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账户转出，转出</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的账户与</w:t>
            </w:r>
            <w:r>
              <w:rPr>
                <w:rFonts w:hint="eastAsia" w:cs="@仿宋_GB2312"/>
                <w:b w:val="0"/>
                <w:bCs w:val="0"/>
                <w:kern w:val="2"/>
                <w:sz w:val="24"/>
                <w:szCs w:val="18"/>
                <w:highlight w:val="none"/>
                <w:lang w:val="en-US" w:eastAsia="zh-CN" w:bidi="ar-SA"/>
              </w:rPr>
              <w:t>供应商响应文件</w:t>
            </w:r>
            <w:r>
              <w:rPr>
                <w:rFonts w:hint="eastAsia" w:ascii="宋体" w:hAnsi="宋体" w:eastAsia="宋体" w:cs="@仿宋_GB2312"/>
                <w:b w:val="0"/>
                <w:bCs w:val="0"/>
                <w:kern w:val="2"/>
                <w:sz w:val="24"/>
                <w:szCs w:val="18"/>
                <w:highlight w:val="none"/>
                <w:lang w:val="en-US" w:eastAsia="zh-CN" w:bidi="ar-SA"/>
              </w:rPr>
              <w:t>提供的账户信息不一致的，视为未按</w:t>
            </w:r>
            <w:r>
              <w:rPr>
                <w:rFonts w:hint="eastAsia" w:cs="@仿宋_GB2312"/>
                <w:b w:val="0"/>
                <w:bCs w:val="0"/>
                <w:kern w:val="2"/>
                <w:sz w:val="24"/>
                <w:szCs w:val="18"/>
                <w:highlight w:val="none"/>
                <w:lang w:val="en-US" w:eastAsia="zh-CN" w:bidi="ar-SA"/>
              </w:rPr>
              <w:t>磋商文件</w:t>
            </w:r>
            <w:r>
              <w:rPr>
                <w:rFonts w:hint="eastAsia" w:ascii="宋体" w:hAnsi="宋体" w:eastAsia="宋体" w:cs="@仿宋_GB2312"/>
                <w:b w:val="0"/>
                <w:bCs w:val="0"/>
                <w:kern w:val="2"/>
                <w:sz w:val="24"/>
                <w:szCs w:val="18"/>
                <w:highlight w:val="none"/>
                <w:lang w:val="en-US" w:eastAsia="zh-CN" w:bidi="ar-SA"/>
              </w:rPr>
              <w:t>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w:t>
            </w:r>
            <w:r>
              <w:rPr>
                <w:rFonts w:hint="eastAsia" w:cs="@仿宋_GB2312"/>
                <w:b w:val="0"/>
                <w:bCs w:val="0"/>
                <w:kern w:val="2"/>
                <w:sz w:val="24"/>
                <w:szCs w:val="18"/>
                <w:highlight w:val="none"/>
                <w:lang w:val="en-US" w:eastAsia="zh-CN" w:bidi="ar-SA"/>
              </w:rPr>
              <w:t>响应</w:t>
            </w:r>
            <w:r>
              <w:rPr>
                <w:rFonts w:hint="eastAsia" w:ascii="宋体" w:hAnsi="宋体" w:eastAsia="宋体" w:cs="@仿宋_GB2312"/>
                <w:b w:val="0"/>
                <w:bCs w:val="0"/>
                <w:kern w:val="2"/>
                <w:sz w:val="24"/>
                <w:szCs w:val="18"/>
                <w:highlight w:val="none"/>
                <w:lang w:val="en-US" w:eastAsia="zh-CN" w:bidi="ar-SA"/>
              </w:rPr>
              <w:t>无效。</w:t>
            </w:r>
          </w:p>
          <w:p w14:paraId="2759A53C">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转入的开户银行及账号：</w:t>
            </w:r>
          </w:p>
          <w:p w14:paraId="6E19401C">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cs="@仿宋_GB2312"/>
                <w:b w:val="0"/>
                <w:bCs w:val="0"/>
                <w:kern w:val="2"/>
                <w:sz w:val="24"/>
                <w:szCs w:val="18"/>
                <w:highlight w:val="none"/>
                <w:lang w:val="en-US" w:eastAsia="zh-CN" w:bidi="ar-SA"/>
              </w:rPr>
            </w:pPr>
            <w:r>
              <w:rPr>
                <w:rFonts w:hint="eastAsia" w:cs="@仿宋_GB2312"/>
                <w:b w:val="0"/>
                <w:bCs w:val="0"/>
                <w:kern w:val="2"/>
                <w:sz w:val="24"/>
                <w:szCs w:val="18"/>
                <w:highlight w:val="none"/>
                <w:lang w:val="en-US" w:eastAsia="zh-CN" w:bidi="ar-SA"/>
              </w:rPr>
              <w:t>第1包：</w:t>
            </w:r>
          </w:p>
          <w:p w14:paraId="40A0C05C">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开户银行：广发银行股份有限公司合肥肥西支行</w:t>
            </w:r>
          </w:p>
          <w:p w14:paraId="285A65A0">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开户名：肥西县派合商务服务有限公司</w:t>
            </w:r>
          </w:p>
          <w:p w14:paraId="57A96CE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账号：6232594999000746576</w:t>
            </w:r>
          </w:p>
          <w:p w14:paraId="5F197EF1">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注意事项：</w:t>
            </w:r>
          </w:p>
          <w:p w14:paraId="0C77CBE9">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（1）</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交纳账号采用动态虚拟账号，请</w:t>
            </w: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时，务必备注如下：</w:t>
            </w:r>
          </w:p>
          <w:p w14:paraId="6B195C0C">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default" w:ascii="宋体" w:hAnsi="宋体" w:eastAsia="宋体" w:cs="@仿宋_GB2312"/>
                <w:b w:val="0"/>
                <w:bCs w:val="0"/>
                <w:kern w:val="2"/>
                <w:sz w:val="24"/>
                <w:szCs w:val="18"/>
                <w:highlight w:val="none"/>
                <w:lang w:val="en-US" w:eastAsia="zh-CN" w:bidi="ar-SA"/>
              </w:rPr>
            </w:pPr>
            <w:r>
              <w:rPr>
                <w:rFonts w:hint="eastAsia" w:ascii="宋体" w:hAnsi="宋体" w:eastAsia="宋体" w:cs="@仿宋_GB2312"/>
                <w:b/>
                <w:bCs/>
                <w:color w:val="FF0000"/>
                <w:kern w:val="2"/>
                <w:sz w:val="24"/>
                <w:szCs w:val="18"/>
                <w:highlight w:val="none"/>
                <w:lang w:val="en-US" w:eastAsia="zh-CN" w:bidi="ar-SA"/>
              </w:rPr>
              <w:t>（项目编号</w:t>
            </w:r>
            <w:r>
              <w:rPr>
                <w:rFonts w:hint="eastAsia" w:cs="@仿宋_GB2312"/>
                <w:b/>
                <w:bCs/>
                <w:color w:val="FF0000"/>
                <w:kern w:val="2"/>
                <w:sz w:val="24"/>
                <w:szCs w:val="18"/>
                <w:highlight w:val="none"/>
                <w:lang w:val="en-US" w:eastAsia="zh-CN" w:bidi="ar-SA"/>
              </w:rPr>
              <w:t>-包别编号</w:t>
            </w:r>
            <w:r>
              <w:rPr>
                <w:rFonts w:hint="eastAsia" w:ascii="宋体" w:hAnsi="宋体" w:eastAsia="宋体" w:cs="@仿宋_GB2312"/>
                <w:b/>
                <w:bCs/>
                <w:color w:val="FF0000"/>
                <w:kern w:val="2"/>
                <w:sz w:val="24"/>
                <w:szCs w:val="18"/>
                <w:highlight w:val="none"/>
                <w:lang w:val="en-US" w:eastAsia="zh-CN" w:bidi="ar-SA"/>
              </w:rPr>
              <w:t>）</w:t>
            </w:r>
            <w:r>
              <w:rPr>
                <w:rFonts w:hint="eastAsia" w:cs="@仿宋_GB2312"/>
                <w:b/>
                <w:bCs/>
                <w:color w:val="FF0000"/>
                <w:kern w:val="2"/>
                <w:sz w:val="24"/>
                <w:szCs w:val="18"/>
                <w:highlight w:val="none"/>
                <w:lang w:val="en-US" w:eastAsia="zh-CN" w:bidi="ar-SA"/>
              </w:rPr>
              <w:t>电子交易服务费，如第1包即为2025PHBN418-1</w:t>
            </w:r>
          </w:p>
          <w:p w14:paraId="725D8BFF">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如未进行备注的，可能会因评审委员会无法识别</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到账情况导致</w:t>
            </w:r>
            <w:r>
              <w:rPr>
                <w:rFonts w:hint="eastAsia" w:cs="@仿宋_GB2312"/>
                <w:b w:val="0"/>
                <w:bCs w:val="0"/>
                <w:kern w:val="2"/>
                <w:sz w:val="24"/>
                <w:szCs w:val="18"/>
                <w:highlight w:val="none"/>
                <w:lang w:val="en-US" w:eastAsia="zh-CN" w:bidi="ar-SA"/>
              </w:rPr>
              <w:t>响应文件</w:t>
            </w:r>
            <w:r>
              <w:rPr>
                <w:rFonts w:hint="eastAsia" w:ascii="宋体" w:hAnsi="宋体" w:eastAsia="宋体" w:cs="@仿宋_GB2312"/>
                <w:b w:val="0"/>
                <w:bCs w:val="0"/>
                <w:kern w:val="2"/>
                <w:sz w:val="24"/>
                <w:szCs w:val="18"/>
                <w:highlight w:val="none"/>
                <w:lang w:val="en-US" w:eastAsia="zh-CN" w:bidi="ar-SA"/>
              </w:rPr>
              <w:t>被否决，责任由</w:t>
            </w: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自行承担。</w:t>
            </w:r>
          </w:p>
          <w:p w14:paraId="42A78CBD">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jc w:val="both"/>
              <w:textAlignment w:val="auto"/>
              <w:rPr>
                <w:rFonts w:hint="eastAsia" w:ascii="宋体" w:hAnsi="宋体" w:eastAsia="宋体" w:cs="@仿宋_GB2312"/>
                <w:b w:val="0"/>
                <w:bCs w:val="0"/>
                <w:kern w:val="2"/>
                <w:sz w:val="24"/>
                <w:szCs w:val="18"/>
                <w:highlight w:val="none"/>
                <w:lang w:val="en-US" w:eastAsia="zh-CN" w:bidi="ar-SA"/>
              </w:rPr>
            </w:pPr>
            <w:r>
              <w:rPr>
                <w:rFonts w:hint="eastAsia" w:ascii="宋体" w:hAnsi="宋体" w:eastAsia="宋体" w:cs="@仿宋_GB2312"/>
                <w:b w:val="0"/>
                <w:bCs w:val="0"/>
                <w:kern w:val="2"/>
                <w:sz w:val="24"/>
                <w:szCs w:val="18"/>
                <w:highlight w:val="none"/>
                <w:lang w:val="en-US" w:eastAsia="zh-CN" w:bidi="ar-SA"/>
              </w:rPr>
              <w:t>（2）凡转账到其他项目</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账户或本项目前次公告中</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账户的，视为未按</w:t>
            </w:r>
            <w:r>
              <w:rPr>
                <w:rFonts w:hint="eastAsia" w:cs="@仿宋_GB2312"/>
                <w:b w:val="0"/>
                <w:bCs w:val="0"/>
                <w:kern w:val="2"/>
                <w:sz w:val="24"/>
                <w:szCs w:val="18"/>
                <w:highlight w:val="none"/>
                <w:lang w:val="en-US" w:eastAsia="zh-CN" w:bidi="ar-SA"/>
              </w:rPr>
              <w:t>磋商文件</w:t>
            </w:r>
            <w:r>
              <w:rPr>
                <w:rFonts w:hint="eastAsia" w:ascii="宋体" w:hAnsi="宋体" w:eastAsia="宋体" w:cs="@仿宋_GB2312"/>
                <w:b w:val="0"/>
                <w:bCs w:val="0"/>
                <w:kern w:val="2"/>
                <w:sz w:val="24"/>
                <w:szCs w:val="18"/>
                <w:highlight w:val="none"/>
                <w:lang w:val="en-US" w:eastAsia="zh-CN" w:bidi="ar-SA"/>
              </w:rPr>
              <w:t>规定要求交纳</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，其</w:t>
            </w:r>
            <w:r>
              <w:rPr>
                <w:rFonts w:hint="eastAsia" w:cs="@仿宋_GB2312"/>
                <w:b w:val="0"/>
                <w:bCs w:val="0"/>
                <w:kern w:val="2"/>
                <w:sz w:val="24"/>
                <w:szCs w:val="18"/>
                <w:highlight w:val="none"/>
                <w:lang w:val="en-US" w:eastAsia="zh-CN" w:bidi="ar-SA"/>
              </w:rPr>
              <w:t>响应</w:t>
            </w:r>
            <w:r>
              <w:rPr>
                <w:rFonts w:hint="eastAsia" w:ascii="宋体" w:hAnsi="宋体" w:eastAsia="宋体" w:cs="@仿宋_GB2312"/>
                <w:b w:val="0"/>
                <w:bCs w:val="0"/>
                <w:kern w:val="2"/>
                <w:sz w:val="24"/>
                <w:szCs w:val="18"/>
                <w:highlight w:val="none"/>
                <w:lang w:val="en-US" w:eastAsia="zh-CN" w:bidi="ar-SA"/>
              </w:rPr>
              <w:t>无效。</w:t>
            </w:r>
          </w:p>
          <w:p w14:paraId="06B55C16">
            <w:pPr>
              <w:pStyle w:val="39"/>
              <w:keepNext w:val="0"/>
              <w:keepLines w:val="0"/>
              <w:pageBreakBefore w:val="0"/>
              <w:widowControl w:val="0"/>
              <w:kinsoku/>
              <w:wordWrap/>
              <w:overflowPunct/>
              <w:topLinePunct w:val="0"/>
              <w:autoSpaceDE/>
              <w:autoSpaceDN/>
              <w:bidi w:val="0"/>
              <w:adjustRightInd/>
              <w:snapToGrid/>
              <w:spacing w:before="0" w:beforeAutospacing="0" w:after="0" w:afterAutospacing="0" w:line="360" w:lineRule="auto"/>
              <w:ind w:firstLine="0" w:firstLineChars="0"/>
              <w:jc w:val="both"/>
              <w:textAlignment w:val="auto"/>
              <w:rPr>
                <w:rFonts w:hint="eastAsia" w:cs="宋体"/>
                <w:sz w:val="24"/>
              </w:rPr>
            </w:pPr>
            <w:r>
              <w:rPr>
                <w:rFonts w:hint="eastAsia" w:ascii="宋体" w:hAnsi="宋体" w:eastAsia="宋体" w:cs="@仿宋_GB2312"/>
                <w:b w:val="0"/>
                <w:bCs w:val="0"/>
                <w:kern w:val="2"/>
                <w:sz w:val="24"/>
                <w:szCs w:val="18"/>
                <w:highlight w:val="none"/>
                <w:lang w:val="en-US" w:eastAsia="zh-CN" w:bidi="ar-SA"/>
              </w:rPr>
              <w:t>（4）</w:t>
            </w:r>
            <w:r>
              <w:rPr>
                <w:rFonts w:hint="eastAsia" w:cs="@仿宋_GB2312"/>
                <w:b w:val="0"/>
                <w:bCs w:val="0"/>
                <w:kern w:val="2"/>
                <w:sz w:val="24"/>
                <w:szCs w:val="18"/>
                <w:highlight w:val="none"/>
                <w:lang w:val="en-US" w:eastAsia="zh-CN" w:bidi="ar-SA"/>
              </w:rPr>
              <w:t>供应商</w:t>
            </w:r>
            <w:r>
              <w:rPr>
                <w:rFonts w:hint="eastAsia" w:ascii="宋体" w:hAnsi="宋体" w:eastAsia="宋体" w:cs="@仿宋_GB2312"/>
                <w:b w:val="0"/>
                <w:bCs w:val="0"/>
                <w:kern w:val="2"/>
                <w:sz w:val="24"/>
                <w:szCs w:val="18"/>
                <w:highlight w:val="none"/>
                <w:lang w:val="en-US" w:eastAsia="zh-CN" w:bidi="ar-SA"/>
              </w:rPr>
              <w:t>参与本项目多个</w:t>
            </w:r>
            <w:r>
              <w:rPr>
                <w:rFonts w:hint="eastAsia" w:cs="@仿宋_GB2312"/>
                <w:b w:val="0"/>
                <w:bCs w:val="0"/>
                <w:kern w:val="2"/>
                <w:sz w:val="24"/>
                <w:szCs w:val="18"/>
                <w:highlight w:val="none"/>
                <w:lang w:val="en-US" w:eastAsia="zh-CN" w:bidi="ar-SA"/>
              </w:rPr>
              <w:t>包别磋商</w:t>
            </w:r>
            <w:r>
              <w:rPr>
                <w:rFonts w:hint="eastAsia" w:ascii="宋体" w:hAnsi="宋体" w:eastAsia="宋体" w:cs="@仿宋_GB2312"/>
                <w:b w:val="0"/>
                <w:bCs w:val="0"/>
                <w:kern w:val="2"/>
                <w:sz w:val="24"/>
                <w:szCs w:val="18"/>
                <w:highlight w:val="none"/>
                <w:lang w:val="en-US" w:eastAsia="zh-CN" w:bidi="ar-SA"/>
              </w:rPr>
              <w:t>的（如分多标段的），应该按</w:t>
            </w:r>
            <w:r>
              <w:rPr>
                <w:rFonts w:hint="eastAsia" w:cs="@仿宋_GB2312"/>
                <w:b w:val="0"/>
                <w:bCs w:val="0"/>
                <w:kern w:val="2"/>
                <w:sz w:val="24"/>
                <w:szCs w:val="18"/>
                <w:highlight w:val="none"/>
                <w:lang w:val="en-US" w:eastAsia="zh-CN" w:bidi="ar-SA"/>
              </w:rPr>
              <w:t>包别</w:t>
            </w:r>
            <w:r>
              <w:rPr>
                <w:rFonts w:hint="eastAsia" w:ascii="宋体" w:hAnsi="宋体" w:eastAsia="宋体" w:cs="@仿宋_GB2312"/>
                <w:b w:val="0"/>
                <w:bCs w:val="0"/>
                <w:kern w:val="2"/>
                <w:sz w:val="24"/>
                <w:szCs w:val="18"/>
                <w:highlight w:val="none"/>
                <w:lang w:val="en-US" w:eastAsia="zh-CN" w:bidi="ar-SA"/>
              </w:rPr>
              <w:t>分别递交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。未递交</w:t>
            </w:r>
            <w:r>
              <w:rPr>
                <w:rFonts w:hint="eastAsia" w:cs="@仿宋_GB2312"/>
                <w:b w:val="0"/>
                <w:bCs w:val="0"/>
                <w:kern w:val="2"/>
                <w:sz w:val="24"/>
                <w:szCs w:val="18"/>
                <w:highlight w:val="none"/>
                <w:lang w:val="en-US" w:eastAsia="zh-CN" w:bidi="ar-SA"/>
              </w:rPr>
              <w:t>电子交易服务费</w:t>
            </w:r>
            <w:r>
              <w:rPr>
                <w:rFonts w:hint="eastAsia" w:ascii="宋体" w:hAnsi="宋体" w:eastAsia="宋体" w:cs="@仿宋_GB2312"/>
                <w:b w:val="0"/>
                <w:bCs w:val="0"/>
                <w:kern w:val="2"/>
                <w:sz w:val="24"/>
                <w:szCs w:val="18"/>
                <w:highlight w:val="none"/>
                <w:lang w:val="en-US" w:eastAsia="zh-CN" w:bidi="ar-SA"/>
              </w:rPr>
              <w:t>的</w:t>
            </w:r>
            <w:r>
              <w:rPr>
                <w:rFonts w:hint="eastAsia" w:cs="@仿宋_GB2312"/>
                <w:b w:val="0"/>
                <w:bCs w:val="0"/>
                <w:kern w:val="2"/>
                <w:sz w:val="24"/>
                <w:szCs w:val="18"/>
                <w:highlight w:val="none"/>
                <w:lang w:val="en-US" w:eastAsia="zh-CN" w:bidi="ar-SA"/>
              </w:rPr>
              <w:t>包别</w:t>
            </w:r>
            <w:r>
              <w:rPr>
                <w:rFonts w:hint="eastAsia" w:ascii="宋体" w:hAnsi="宋体" w:eastAsia="宋体" w:cs="@仿宋_GB2312"/>
                <w:b w:val="0"/>
                <w:bCs w:val="0"/>
                <w:kern w:val="2"/>
                <w:sz w:val="24"/>
                <w:szCs w:val="18"/>
                <w:highlight w:val="none"/>
                <w:lang w:val="en-US" w:eastAsia="zh-CN" w:bidi="ar-SA"/>
              </w:rPr>
              <w:t>，其</w:t>
            </w:r>
            <w:r>
              <w:rPr>
                <w:rFonts w:hint="eastAsia" w:cs="@仿宋_GB2312"/>
                <w:b w:val="0"/>
                <w:bCs w:val="0"/>
                <w:kern w:val="2"/>
                <w:sz w:val="24"/>
                <w:szCs w:val="18"/>
                <w:highlight w:val="none"/>
                <w:lang w:val="en-US" w:eastAsia="zh-CN" w:bidi="ar-SA"/>
              </w:rPr>
              <w:t>响应</w:t>
            </w:r>
            <w:r>
              <w:rPr>
                <w:rFonts w:hint="eastAsia" w:ascii="宋体" w:hAnsi="宋体" w:eastAsia="宋体" w:cs="@仿宋_GB2312"/>
                <w:b w:val="0"/>
                <w:bCs w:val="0"/>
                <w:kern w:val="2"/>
                <w:sz w:val="24"/>
                <w:szCs w:val="18"/>
                <w:highlight w:val="none"/>
                <w:lang w:val="en-US" w:eastAsia="zh-CN" w:bidi="ar-SA"/>
              </w:rPr>
              <w:t>无效。</w:t>
            </w:r>
          </w:p>
        </w:tc>
      </w:tr>
      <w:tr w14:paraId="73EDA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BC95B56">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lang w:val="en-US" w:eastAsia="zh-CN"/>
              </w:rPr>
              <w:t>8</w:t>
            </w:r>
          </w:p>
        </w:tc>
        <w:tc>
          <w:tcPr>
            <w:tcW w:w="2031" w:type="dxa"/>
            <w:vAlign w:val="center"/>
          </w:tcPr>
          <w:p w14:paraId="5F43DE82">
            <w:pPr>
              <w:pStyle w:val="39"/>
              <w:widowControl w:val="0"/>
              <w:spacing w:before="0" w:beforeAutospacing="0" w:after="0" w:afterAutospacing="0" w:line="360" w:lineRule="auto"/>
              <w:jc w:val="both"/>
              <w:rPr>
                <w:b w:val="0"/>
                <w:sz w:val="24"/>
              </w:rPr>
            </w:pPr>
            <w:r>
              <w:rPr>
                <w:rFonts w:hint="eastAsia"/>
                <w:b w:val="0"/>
                <w:sz w:val="24"/>
              </w:rPr>
              <w:t>磋商有效期</w:t>
            </w:r>
          </w:p>
        </w:tc>
        <w:tc>
          <w:tcPr>
            <w:tcW w:w="6020" w:type="dxa"/>
            <w:vAlign w:val="center"/>
          </w:tcPr>
          <w:p w14:paraId="3513E642">
            <w:pPr>
              <w:pStyle w:val="39"/>
              <w:widowControl w:val="0"/>
              <w:spacing w:before="0" w:beforeAutospacing="0" w:after="0" w:afterAutospacing="0" w:line="360" w:lineRule="auto"/>
              <w:jc w:val="both"/>
              <w:rPr>
                <w:rFonts w:hint="eastAsia" w:eastAsia="宋体"/>
                <w:b w:val="0"/>
                <w:sz w:val="24"/>
                <w:lang w:eastAsia="zh-CN"/>
              </w:rPr>
            </w:pPr>
            <w:r>
              <w:rPr>
                <w:rFonts w:hint="eastAsia"/>
                <w:b w:val="0"/>
                <w:sz w:val="24"/>
                <w:u w:val="single"/>
                <w:lang w:val="en-US" w:eastAsia="zh-CN"/>
              </w:rPr>
              <w:t>12</w:t>
            </w:r>
            <w:r>
              <w:rPr>
                <w:rFonts w:hint="eastAsia"/>
                <w:b w:val="0"/>
                <w:sz w:val="24"/>
                <w:u w:val="single"/>
              </w:rPr>
              <w:t>0</w:t>
            </w:r>
            <w:r>
              <w:rPr>
                <w:rFonts w:hint="eastAsia"/>
                <w:b w:val="0"/>
                <w:sz w:val="24"/>
              </w:rPr>
              <w:t>日历</w:t>
            </w:r>
            <w:r>
              <w:rPr>
                <w:rFonts w:hint="eastAsia"/>
                <w:b w:val="0"/>
                <w:sz w:val="24"/>
                <w:lang w:eastAsia="zh-CN"/>
              </w:rPr>
              <w:t>天</w:t>
            </w:r>
          </w:p>
        </w:tc>
      </w:tr>
      <w:tr w14:paraId="6C36A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5A41076">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lang w:val="en-US" w:eastAsia="zh-CN"/>
              </w:rPr>
              <w:t>9</w:t>
            </w:r>
          </w:p>
        </w:tc>
        <w:tc>
          <w:tcPr>
            <w:tcW w:w="2031" w:type="dxa"/>
            <w:vAlign w:val="center"/>
          </w:tcPr>
          <w:p w14:paraId="721D486A">
            <w:pPr>
              <w:pStyle w:val="39"/>
              <w:widowControl w:val="0"/>
              <w:spacing w:before="0" w:beforeAutospacing="0" w:after="0" w:afterAutospacing="0" w:line="360" w:lineRule="auto"/>
              <w:jc w:val="both"/>
              <w:rPr>
                <w:b w:val="0"/>
                <w:sz w:val="24"/>
              </w:rPr>
            </w:pPr>
            <w:r>
              <w:rPr>
                <w:rFonts w:hint="eastAsia"/>
                <w:b w:val="0"/>
                <w:sz w:val="24"/>
              </w:rPr>
              <w:t>响应文件要求</w:t>
            </w:r>
          </w:p>
        </w:tc>
        <w:tc>
          <w:tcPr>
            <w:tcW w:w="6020" w:type="dxa"/>
            <w:vAlign w:val="center"/>
          </w:tcPr>
          <w:p w14:paraId="17DC1ABD">
            <w:pPr>
              <w:pStyle w:val="39"/>
              <w:widowControl w:val="0"/>
              <w:spacing w:before="0" w:beforeAutospacing="0" w:after="0" w:afterAutospacing="0" w:line="360" w:lineRule="auto"/>
              <w:jc w:val="both"/>
              <w:rPr>
                <w:b w:val="0"/>
                <w:sz w:val="24"/>
              </w:rPr>
            </w:pPr>
            <w:r>
              <w:rPr>
                <w:rFonts w:hint="eastAsia"/>
                <w:b w:val="0"/>
                <w:sz w:val="24"/>
                <w:u w:val="single"/>
              </w:rPr>
              <w:t>加密电子响应文件</w:t>
            </w:r>
          </w:p>
        </w:tc>
      </w:tr>
      <w:tr w14:paraId="5F783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73FA5F0D">
            <w:pPr>
              <w:pStyle w:val="40"/>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10</w:t>
            </w:r>
          </w:p>
        </w:tc>
        <w:tc>
          <w:tcPr>
            <w:tcW w:w="2031" w:type="dxa"/>
            <w:vAlign w:val="center"/>
          </w:tcPr>
          <w:p w14:paraId="394B99DD">
            <w:pPr>
              <w:pStyle w:val="39"/>
              <w:widowControl w:val="0"/>
              <w:spacing w:before="0" w:beforeAutospacing="0" w:after="0" w:afterAutospacing="0" w:line="360" w:lineRule="auto"/>
              <w:jc w:val="both"/>
              <w:rPr>
                <w:b w:val="0"/>
                <w:sz w:val="24"/>
              </w:rPr>
            </w:pPr>
            <w:r>
              <w:rPr>
                <w:rFonts w:hint="eastAsia"/>
                <w:b w:val="0"/>
                <w:sz w:val="24"/>
              </w:rPr>
              <w:t>磋商现场提交的其他材料要求</w:t>
            </w:r>
          </w:p>
        </w:tc>
        <w:tc>
          <w:tcPr>
            <w:tcW w:w="6020" w:type="dxa"/>
            <w:vAlign w:val="center"/>
          </w:tcPr>
          <w:p w14:paraId="76608797">
            <w:pPr>
              <w:pStyle w:val="39"/>
              <w:widowControl w:val="0"/>
              <w:spacing w:before="0" w:beforeAutospacing="0" w:after="0" w:afterAutospacing="0" w:line="360" w:lineRule="auto"/>
              <w:jc w:val="both"/>
              <w:rPr>
                <w:b w:val="0"/>
                <w:sz w:val="24"/>
                <w:u w:val="single"/>
              </w:rPr>
            </w:pPr>
            <w:r>
              <w:rPr>
                <w:rFonts w:hint="eastAsia"/>
                <w:b w:val="0"/>
                <w:bCs w:val="0"/>
                <w:sz w:val="24"/>
                <w:szCs w:val="18"/>
                <w:u w:val="single"/>
              </w:rPr>
              <w:t>/</w:t>
            </w:r>
          </w:p>
        </w:tc>
      </w:tr>
      <w:tr w14:paraId="78F0B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9A2D2D3">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1</w:t>
            </w:r>
          </w:p>
        </w:tc>
        <w:tc>
          <w:tcPr>
            <w:tcW w:w="2031" w:type="dxa"/>
            <w:vAlign w:val="center"/>
          </w:tcPr>
          <w:p w14:paraId="3B39F985">
            <w:pPr>
              <w:pStyle w:val="39"/>
              <w:widowControl w:val="0"/>
              <w:spacing w:before="0" w:beforeAutospacing="0" w:after="0" w:afterAutospacing="0" w:line="360" w:lineRule="auto"/>
              <w:jc w:val="both"/>
              <w:rPr>
                <w:b w:val="0"/>
                <w:sz w:val="24"/>
              </w:rPr>
            </w:pPr>
            <w:r>
              <w:rPr>
                <w:rFonts w:hint="eastAsia"/>
                <w:b w:val="0"/>
                <w:sz w:val="24"/>
              </w:rPr>
              <w:t>响应文件提交截止时间</w:t>
            </w:r>
          </w:p>
        </w:tc>
        <w:tc>
          <w:tcPr>
            <w:tcW w:w="6020" w:type="dxa"/>
            <w:vAlign w:val="center"/>
          </w:tcPr>
          <w:p w14:paraId="35EA16BA">
            <w:pPr>
              <w:pStyle w:val="39"/>
              <w:widowControl w:val="0"/>
              <w:spacing w:before="0" w:beforeAutospacing="0" w:after="0" w:afterAutospacing="0" w:line="360" w:lineRule="auto"/>
              <w:jc w:val="both"/>
              <w:rPr>
                <w:b w:val="0"/>
                <w:sz w:val="24"/>
              </w:rPr>
            </w:pPr>
            <w:r>
              <w:rPr>
                <w:rFonts w:hint="eastAsia"/>
                <w:b w:val="0"/>
                <w:sz w:val="24"/>
                <w:u w:val="single"/>
              </w:rPr>
              <w:t>详见磋商邀请</w:t>
            </w:r>
          </w:p>
        </w:tc>
      </w:tr>
      <w:tr w14:paraId="4B974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63763E7">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2</w:t>
            </w:r>
          </w:p>
        </w:tc>
        <w:tc>
          <w:tcPr>
            <w:tcW w:w="2031" w:type="dxa"/>
            <w:vAlign w:val="center"/>
          </w:tcPr>
          <w:p w14:paraId="62F5489F">
            <w:pPr>
              <w:pStyle w:val="39"/>
              <w:widowControl w:val="0"/>
              <w:spacing w:before="0" w:beforeAutospacing="0" w:after="0" w:afterAutospacing="0" w:line="360" w:lineRule="auto"/>
              <w:jc w:val="both"/>
              <w:rPr>
                <w:b w:val="0"/>
                <w:sz w:val="24"/>
              </w:rPr>
            </w:pPr>
            <w:r>
              <w:rPr>
                <w:rFonts w:hint="eastAsia"/>
                <w:b w:val="0"/>
                <w:sz w:val="24"/>
              </w:rPr>
              <w:t>响应文件解密时间</w:t>
            </w:r>
          </w:p>
        </w:tc>
        <w:tc>
          <w:tcPr>
            <w:tcW w:w="6020" w:type="dxa"/>
            <w:vAlign w:val="center"/>
          </w:tcPr>
          <w:p w14:paraId="6ECA0CE4">
            <w:pPr>
              <w:pStyle w:val="39"/>
              <w:widowControl w:val="0"/>
              <w:spacing w:before="0" w:beforeAutospacing="0" w:after="0" w:afterAutospacing="0" w:line="360" w:lineRule="auto"/>
              <w:jc w:val="both"/>
              <w:rPr>
                <w:rFonts w:cs="宋体"/>
                <w:b w:val="0"/>
                <w:sz w:val="24"/>
                <w:u w:val="single"/>
              </w:rPr>
            </w:pPr>
            <w:r>
              <w:rPr>
                <w:rFonts w:hint="eastAsia" w:cs="宋体"/>
                <w:b w:val="0"/>
                <w:sz w:val="24"/>
                <w:u w:val="single"/>
              </w:rPr>
              <w:t>响应文件提交截止时间后30分钟内（以系统解密倒计时为准）</w:t>
            </w:r>
          </w:p>
          <w:p w14:paraId="49F13B83">
            <w:pPr>
              <w:pStyle w:val="39"/>
              <w:widowControl w:val="0"/>
              <w:spacing w:before="0" w:beforeAutospacing="0" w:after="0" w:afterAutospacing="0" w:line="360" w:lineRule="auto"/>
              <w:jc w:val="both"/>
              <w:rPr>
                <w:b w:val="0"/>
                <w:sz w:val="24"/>
                <w:u w:val="single"/>
              </w:rPr>
            </w:pPr>
            <w:r>
              <w:rPr>
                <w:rFonts w:hint="eastAsia" w:cs="宋体"/>
                <w:bCs w:val="0"/>
                <w:sz w:val="24"/>
              </w:rPr>
              <w:t>其他要求：响应文件解密可以采用网上远程方式，无需到磋商现场进行解密。解密的CA锁必须与响应文件加密的CA锁一致，否则造成的后果由</w:t>
            </w:r>
            <w:r>
              <w:rPr>
                <w:rFonts w:hint="eastAsia"/>
                <w:sz w:val="24"/>
                <w:szCs w:val="18"/>
              </w:rPr>
              <w:t>供应商</w:t>
            </w:r>
            <w:r>
              <w:rPr>
                <w:rFonts w:hint="eastAsia" w:cs="宋体"/>
                <w:bCs w:val="0"/>
                <w:sz w:val="24"/>
              </w:rPr>
              <w:t>自行承担。</w:t>
            </w:r>
          </w:p>
        </w:tc>
      </w:tr>
      <w:tr w14:paraId="099CB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13DD204E">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3</w:t>
            </w:r>
          </w:p>
        </w:tc>
        <w:tc>
          <w:tcPr>
            <w:tcW w:w="2031" w:type="dxa"/>
            <w:vAlign w:val="center"/>
          </w:tcPr>
          <w:p w14:paraId="1DB51037">
            <w:pPr>
              <w:pStyle w:val="39"/>
              <w:widowControl w:val="0"/>
              <w:spacing w:before="0" w:beforeAutospacing="0" w:after="0" w:afterAutospacing="0" w:line="360" w:lineRule="auto"/>
              <w:jc w:val="both"/>
              <w:rPr>
                <w:b w:val="0"/>
                <w:sz w:val="24"/>
              </w:rPr>
            </w:pPr>
            <w:r>
              <w:rPr>
                <w:rFonts w:hint="eastAsia"/>
                <w:b w:val="0"/>
                <w:sz w:val="24"/>
              </w:rPr>
              <w:t>磋商时间</w:t>
            </w:r>
          </w:p>
        </w:tc>
        <w:tc>
          <w:tcPr>
            <w:tcW w:w="6020" w:type="dxa"/>
            <w:vAlign w:val="center"/>
          </w:tcPr>
          <w:p w14:paraId="4AB9C991">
            <w:pPr>
              <w:pStyle w:val="39"/>
              <w:widowControl w:val="0"/>
              <w:spacing w:before="0" w:beforeAutospacing="0" w:after="0" w:afterAutospacing="0" w:line="360" w:lineRule="auto"/>
              <w:jc w:val="both"/>
              <w:rPr>
                <w:b w:val="0"/>
                <w:sz w:val="24"/>
              </w:rPr>
            </w:pPr>
            <w:r>
              <w:rPr>
                <w:rFonts w:hint="eastAsia"/>
                <w:b w:val="0"/>
                <w:sz w:val="24"/>
                <w:u w:val="single"/>
              </w:rPr>
              <w:t>详见磋商邀请</w:t>
            </w:r>
          </w:p>
        </w:tc>
      </w:tr>
      <w:tr w14:paraId="77956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12D57F19">
            <w:pPr>
              <w:pStyle w:val="40"/>
              <w:pBdr>
                <w:bottom w:val="none" w:color="auto" w:sz="0" w:space="0"/>
              </w:pBdr>
              <w:tabs>
                <w:tab w:val="clear" w:pos="4153"/>
                <w:tab w:val="clear" w:pos="8306"/>
              </w:tabs>
              <w:adjustRightInd/>
              <w:spacing w:line="360" w:lineRule="auto"/>
              <w:textAlignment w:val="auto"/>
              <w:rPr>
                <w:bCs/>
                <w:kern w:val="2"/>
              </w:rPr>
            </w:pPr>
          </w:p>
        </w:tc>
        <w:tc>
          <w:tcPr>
            <w:tcW w:w="2031" w:type="dxa"/>
            <w:vAlign w:val="center"/>
          </w:tcPr>
          <w:p w14:paraId="600469DD">
            <w:pPr>
              <w:pStyle w:val="39"/>
              <w:widowControl w:val="0"/>
              <w:spacing w:before="0" w:beforeAutospacing="0" w:after="0" w:afterAutospacing="0" w:line="360" w:lineRule="auto"/>
              <w:jc w:val="both"/>
              <w:rPr>
                <w:b w:val="0"/>
                <w:sz w:val="24"/>
              </w:rPr>
            </w:pPr>
            <w:r>
              <w:rPr>
                <w:rFonts w:hint="eastAsia"/>
                <w:b w:val="0"/>
                <w:sz w:val="24"/>
              </w:rPr>
              <w:t>磋商地点</w:t>
            </w:r>
          </w:p>
        </w:tc>
        <w:tc>
          <w:tcPr>
            <w:tcW w:w="6020" w:type="dxa"/>
            <w:vAlign w:val="center"/>
          </w:tcPr>
          <w:p w14:paraId="58F32955">
            <w:pPr>
              <w:pStyle w:val="39"/>
              <w:widowControl w:val="0"/>
              <w:spacing w:before="0" w:beforeAutospacing="0" w:after="0" w:afterAutospacing="0" w:line="360" w:lineRule="auto"/>
              <w:jc w:val="both"/>
              <w:rPr>
                <w:b w:val="0"/>
                <w:sz w:val="24"/>
                <w:u w:val="single"/>
              </w:rPr>
            </w:pPr>
            <w:r>
              <w:rPr>
                <w:rFonts w:hint="eastAsia"/>
                <w:b w:val="0"/>
                <w:sz w:val="24"/>
                <w:u w:val="single"/>
              </w:rPr>
              <w:t>详见磋商邀请</w:t>
            </w:r>
          </w:p>
          <w:p w14:paraId="05B3D45C">
            <w:pPr>
              <w:spacing w:line="360" w:lineRule="auto"/>
              <w:rPr>
                <w:sz w:val="24"/>
                <w:u w:val="single"/>
              </w:rPr>
            </w:pPr>
            <w:r>
              <w:rPr>
                <w:rFonts w:hint="eastAsia"/>
                <w:b/>
                <w:bCs/>
                <w:sz w:val="24"/>
                <w:szCs w:val="18"/>
                <w:u w:val="single"/>
              </w:rPr>
              <w:t>备注：</w:t>
            </w:r>
            <w:r>
              <w:rPr>
                <w:rFonts w:hint="eastAsia"/>
                <w:b/>
                <w:sz w:val="24"/>
                <w:szCs w:val="18"/>
                <w:u w:val="single"/>
              </w:rPr>
              <w:t>供应商</w:t>
            </w:r>
            <w:r>
              <w:rPr>
                <w:rFonts w:hint="eastAsia"/>
                <w:b/>
                <w:bCs/>
                <w:sz w:val="24"/>
                <w:szCs w:val="18"/>
                <w:u w:val="single"/>
              </w:rPr>
              <w:t>可以在线解密响应文件，无须现场参加磋商</w:t>
            </w:r>
          </w:p>
        </w:tc>
      </w:tr>
      <w:tr w14:paraId="6B8B9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restart"/>
            <w:vAlign w:val="center"/>
          </w:tcPr>
          <w:p w14:paraId="727D8FF9">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4</w:t>
            </w:r>
          </w:p>
        </w:tc>
        <w:tc>
          <w:tcPr>
            <w:tcW w:w="2031" w:type="dxa"/>
            <w:vMerge w:val="restart"/>
            <w:vAlign w:val="center"/>
          </w:tcPr>
          <w:p w14:paraId="0421F907">
            <w:pPr>
              <w:pStyle w:val="39"/>
              <w:widowControl w:val="0"/>
              <w:spacing w:before="0" w:beforeAutospacing="0" w:after="0" w:afterAutospacing="0" w:line="360" w:lineRule="auto"/>
              <w:jc w:val="both"/>
              <w:rPr>
                <w:b w:val="0"/>
                <w:sz w:val="24"/>
              </w:rPr>
            </w:pPr>
            <w:r>
              <w:rPr>
                <w:rFonts w:hint="eastAsia"/>
                <w:b w:val="0"/>
                <w:sz w:val="24"/>
              </w:rPr>
              <w:t>确定成交候选人和成交人</w:t>
            </w:r>
          </w:p>
        </w:tc>
        <w:tc>
          <w:tcPr>
            <w:tcW w:w="6020" w:type="dxa"/>
            <w:vAlign w:val="center"/>
          </w:tcPr>
          <w:p w14:paraId="70884558">
            <w:pPr>
              <w:pStyle w:val="39"/>
              <w:widowControl w:val="0"/>
              <w:spacing w:before="0" w:beforeAutospacing="0" w:after="0" w:afterAutospacing="0" w:line="360" w:lineRule="auto"/>
              <w:jc w:val="both"/>
              <w:rPr>
                <w:rFonts w:hint="eastAsia" w:eastAsia="宋体"/>
                <w:b w:val="0"/>
                <w:sz w:val="24"/>
                <w:u w:val="single"/>
                <w:lang w:val="en-US" w:eastAsia="zh-CN"/>
              </w:rPr>
            </w:pPr>
            <w:r>
              <w:rPr>
                <w:rFonts w:hint="eastAsia"/>
                <w:b w:val="0"/>
                <w:sz w:val="24"/>
              </w:rPr>
              <w:t>磋商小组推荐成交</w:t>
            </w:r>
            <w:r>
              <w:rPr>
                <w:b w:val="0"/>
                <w:sz w:val="24"/>
              </w:rPr>
              <w:t>候选</w:t>
            </w:r>
            <w:r>
              <w:rPr>
                <w:rFonts w:hint="eastAsia"/>
                <w:b w:val="0"/>
                <w:sz w:val="24"/>
              </w:rPr>
              <w:t>人的</w:t>
            </w:r>
            <w:r>
              <w:rPr>
                <w:b w:val="0"/>
                <w:sz w:val="24"/>
              </w:rPr>
              <w:t>数量</w:t>
            </w:r>
            <w:r>
              <w:rPr>
                <w:rFonts w:hint="eastAsia"/>
                <w:b w:val="0"/>
                <w:sz w:val="24"/>
              </w:rPr>
              <w:t>：</w:t>
            </w:r>
            <w:r>
              <w:rPr>
                <w:rFonts w:hint="eastAsia"/>
                <w:b w:val="0"/>
                <w:sz w:val="24"/>
                <w:lang w:val="en-US" w:eastAsia="zh-CN"/>
              </w:rPr>
              <w:t>第1包</w:t>
            </w:r>
            <w:r>
              <w:rPr>
                <w:rFonts w:hint="eastAsia"/>
                <w:b w:val="0"/>
                <w:sz w:val="24"/>
                <w:u w:val="none"/>
              </w:rPr>
              <w:t>1</w:t>
            </w:r>
            <w:r>
              <w:rPr>
                <w:b w:val="0"/>
                <w:sz w:val="24"/>
                <w:u w:val="none"/>
              </w:rPr>
              <w:t>家</w:t>
            </w:r>
            <w:r>
              <w:rPr>
                <w:rFonts w:hint="eastAsia"/>
                <w:b w:val="0"/>
                <w:sz w:val="24"/>
                <w:u w:val="none"/>
                <w:lang w:eastAsia="zh-CN"/>
              </w:rPr>
              <w:t>。</w:t>
            </w:r>
          </w:p>
          <w:p w14:paraId="3154B807">
            <w:pPr>
              <w:pStyle w:val="39"/>
              <w:widowControl w:val="0"/>
              <w:spacing w:before="0" w:beforeAutospacing="0" w:after="0" w:afterAutospacing="0" w:line="360" w:lineRule="auto"/>
              <w:jc w:val="both"/>
              <w:rPr>
                <w:rFonts w:hint="default"/>
                <w:b w:val="0"/>
                <w:sz w:val="24"/>
                <w:u w:val="single"/>
                <w:lang w:val="en-US" w:eastAsia="zh-CN"/>
              </w:rPr>
            </w:pPr>
            <w:r>
              <w:rPr>
                <w:rFonts w:hint="eastAsia"/>
                <w:b w:val="0"/>
                <w:sz w:val="24"/>
                <w:highlight w:val="none"/>
                <w:u w:val="none"/>
                <w:lang w:val="en-US" w:eastAsia="zh-CN"/>
              </w:rPr>
              <w:t>备注：供应商参加多个包磋商的成交包数规定：</w:t>
            </w:r>
            <w:r>
              <w:rPr>
                <w:rFonts w:hint="eastAsia"/>
                <w:b/>
                <w:bCs w:val="0"/>
                <w:sz w:val="24"/>
                <w:highlight w:val="none"/>
                <w:u w:val="none"/>
                <w:lang w:val="en-US" w:eastAsia="zh-CN"/>
              </w:rPr>
              <w:t>如某供应商已在前次磋商某一包确定为成交供应商的（以前次磋商成交结果公示为准），则在本次磋商中不再被推荐为成交供应商。</w:t>
            </w:r>
          </w:p>
        </w:tc>
      </w:tr>
      <w:tr w14:paraId="1B726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Merge w:val="continue"/>
            <w:vAlign w:val="center"/>
          </w:tcPr>
          <w:p w14:paraId="0ACD53BC">
            <w:pPr>
              <w:pStyle w:val="40"/>
              <w:pBdr>
                <w:bottom w:val="none" w:color="auto" w:sz="0" w:space="0"/>
              </w:pBdr>
              <w:tabs>
                <w:tab w:val="clear" w:pos="4153"/>
                <w:tab w:val="clear" w:pos="8306"/>
              </w:tabs>
              <w:adjustRightInd/>
              <w:spacing w:line="360" w:lineRule="auto"/>
              <w:textAlignment w:val="auto"/>
              <w:rPr>
                <w:bCs/>
                <w:kern w:val="2"/>
              </w:rPr>
            </w:pPr>
          </w:p>
        </w:tc>
        <w:tc>
          <w:tcPr>
            <w:tcW w:w="2031" w:type="dxa"/>
            <w:vMerge w:val="continue"/>
            <w:vAlign w:val="center"/>
          </w:tcPr>
          <w:p w14:paraId="234B6FC6">
            <w:pPr>
              <w:pStyle w:val="39"/>
              <w:widowControl w:val="0"/>
              <w:spacing w:before="0" w:beforeAutospacing="0" w:after="0" w:afterAutospacing="0" w:line="360" w:lineRule="auto"/>
              <w:jc w:val="both"/>
              <w:rPr>
                <w:b w:val="0"/>
                <w:sz w:val="24"/>
              </w:rPr>
            </w:pPr>
          </w:p>
        </w:tc>
        <w:tc>
          <w:tcPr>
            <w:tcW w:w="6020" w:type="dxa"/>
            <w:vAlign w:val="center"/>
          </w:tcPr>
          <w:p w14:paraId="193464E4">
            <w:pPr>
              <w:pStyle w:val="39"/>
              <w:widowControl w:val="0"/>
              <w:spacing w:before="0" w:beforeAutospacing="0" w:after="0" w:afterAutospacing="0" w:line="360" w:lineRule="auto"/>
              <w:jc w:val="both"/>
              <w:rPr>
                <w:b w:val="0"/>
                <w:sz w:val="24"/>
              </w:rPr>
            </w:pPr>
            <w:r>
              <w:rPr>
                <w:rFonts w:hint="eastAsia"/>
                <w:b w:val="0"/>
                <w:sz w:val="24"/>
              </w:rPr>
              <w:t>确定成交人：</w:t>
            </w:r>
          </w:p>
          <w:p w14:paraId="5D7A6E55">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b w:val="0"/>
                <w:sz w:val="24"/>
                <w:szCs w:val="18"/>
              </w:rPr>
              <w:t>业主</w:t>
            </w:r>
            <w:r>
              <w:rPr>
                <w:rFonts w:hint="eastAsia"/>
                <w:b w:val="0"/>
                <w:sz w:val="24"/>
                <w:szCs w:val="18"/>
              </w:rPr>
              <w:t>单位</w:t>
            </w:r>
            <w:r>
              <w:rPr>
                <w:rFonts w:hint="eastAsia"/>
                <w:b w:val="0"/>
                <w:sz w:val="24"/>
              </w:rPr>
              <w:t>委托磋商小组确定  □</w:t>
            </w:r>
            <w:r>
              <w:rPr>
                <w:b w:val="0"/>
                <w:sz w:val="24"/>
                <w:szCs w:val="18"/>
              </w:rPr>
              <w:t>业主</w:t>
            </w:r>
            <w:r>
              <w:rPr>
                <w:rFonts w:hint="eastAsia"/>
                <w:b w:val="0"/>
                <w:sz w:val="24"/>
                <w:szCs w:val="18"/>
              </w:rPr>
              <w:t>单位</w:t>
            </w:r>
            <w:r>
              <w:rPr>
                <w:rFonts w:hint="eastAsia"/>
                <w:b w:val="0"/>
                <w:sz w:val="24"/>
              </w:rPr>
              <w:t>确定</w:t>
            </w:r>
          </w:p>
        </w:tc>
      </w:tr>
      <w:tr w14:paraId="6B079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71BD579">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5</w:t>
            </w:r>
          </w:p>
        </w:tc>
        <w:tc>
          <w:tcPr>
            <w:tcW w:w="2031" w:type="dxa"/>
            <w:vAlign w:val="center"/>
          </w:tcPr>
          <w:p w14:paraId="1B4726DB">
            <w:pPr>
              <w:pStyle w:val="39"/>
              <w:widowControl w:val="0"/>
              <w:spacing w:before="0" w:beforeAutospacing="0" w:after="0" w:afterAutospacing="0" w:line="360" w:lineRule="auto"/>
              <w:jc w:val="both"/>
              <w:rPr>
                <w:b w:val="0"/>
                <w:sz w:val="24"/>
              </w:rPr>
            </w:pPr>
            <w:r>
              <w:rPr>
                <w:rFonts w:hint="eastAsia"/>
                <w:b w:val="0"/>
                <w:sz w:val="24"/>
              </w:rPr>
              <w:t>成交通知书发出的形式</w:t>
            </w:r>
          </w:p>
        </w:tc>
        <w:tc>
          <w:tcPr>
            <w:tcW w:w="6020" w:type="dxa"/>
            <w:vAlign w:val="center"/>
          </w:tcPr>
          <w:p w14:paraId="5AA74BB8">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 xml:space="preserve">书面 </w:t>
            </w:r>
            <w:r>
              <w:rPr>
                <w:b w:val="0"/>
                <w:sz w:val="24"/>
              </w:rPr>
              <w:t xml:space="preserve">   </w:t>
            </w:r>
            <w:r>
              <w:rPr>
                <w:rFonts w:hint="eastAsia"/>
                <w:b w:val="0"/>
                <w:sz w:val="24"/>
              </w:rPr>
              <w:t>□数据电文</w:t>
            </w:r>
          </w:p>
        </w:tc>
      </w:tr>
      <w:tr w14:paraId="4D8104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AE9CCF2">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6</w:t>
            </w:r>
          </w:p>
        </w:tc>
        <w:tc>
          <w:tcPr>
            <w:tcW w:w="2031" w:type="dxa"/>
            <w:vAlign w:val="center"/>
          </w:tcPr>
          <w:p w14:paraId="29F60577">
            <w:pPr>
              <w:pStyle w:val="39"/>
              <w:widowControl w:val="0"/>
              <w:spacing w:before="0" w:beforeAutospacing="0" w:after="0" w:afterAutospacing="0" w:line="360" w:lineRule="auto"/>
              <w:jc w:val="both"/>
              <w:rPr>
                <w:b w:val="0"/>
                <w:sz w:val="24"/>
              </w:rPr>
            </w:pPr>
            <w:r>
              <w:rPr>
                <w:rFonts w:hint="eastAsia"/>
                <w:b w:val="0"/>
                <w:sz w:val="24"/>
              </w:rPr>
              <w:t>告知磋商结果的形式</w:t>
            </w:r>
          </w:p>
        </w:tc>
        <w:tc>
          <w:tcPr>
            <w:tcW w:w="6020" w:type="dxa"/>
            <w:vAlign w:val="center"/>
          </w:tcPr>
          <w:p w14:paraId="67250732">
            <w:pPr>
              <w:pStyle w:val="39"/>
              <w:widowControl w:val="0"/>
              <w:spacing w:before="0" w:beforeAutospacing="0" w:after="0" w:afterAutospacing="0" w:line="360" w:lineRule="auto"/>
              <w:jc w:val="both"/>
              <w:rPr>
                <w:b w:val="0"/>
                <w:bCs w:val="0"/>
                <w:sz w:val="24"/>
                <w:szCs w:val="24"/>
              </w:rPr>
            </w:pPr>
            <w:r>
              <w:rPr>
                <w:rFonts w:ascii="Segoe UI Symbol" w:hAnsi="Segoe UI Symbol" w:cs="Segoe UI Symbol"/>
                <w:b w:val="0"/>
                <w:sz w:val="24"/>
              </w:rPr>
              <w:t>☑</w:t>
            </w:r>
            <w:r>
              <w:rPr>
                <w:rFonts w:hint="eastAsia"/>
                <w:b w:val="0"/>
                <w:sz w:val="24"/>
              </w:rPr>
              <w:t>供应商</w:t>
            </w:r>
            <w:r>
              <w:rPr>
                <w:rFonts w:hint="eastAsia" w:cs="宋体"/>
                <w:b w:val="0"/>
                <w:bCs w:val="0"/>
                <w:sz w:val="24"/>
                <w:szCs w:val="24"/>
              </w:rPr>
              <w:t>自行登录系统查看</w:t>
            </w:r>
          </w:p>
          <w:p w14:paraId="4CBEB827">
            <w:pPr>
              <w:pStyle w:val="39"/>
              <w:widowControl w:val="0"/>
              <w:spacing w:before="0" w:beforeAutospacing="0" w:after="0" w:afterAutospacing="0" w:line="360" w:lineRule="auto"/>
              <w:jc w:val="both"/>
              <w:rPr>
                <w:b w:val="0"/>
                <w:bCs w:val="0"/>
                <w:sz w:val="24"/>
                <w:szCs w:val="24"/>
              </w:rPr>
            </w:pPr>
            <w:r>
              <w:rPr>
                <w:rFonts w:hint="eastAsia"/>
                <w:b w:val="0"/>
                <w:sz w:val="24"/>
              </w:rPr>
              <w:t>□磋商现场告知</w:t>
            </w:r>
          </w:p>
        </w:tc>
      </w:tr>
      <w:tr w14:paraId="10A3C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601EC685">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7</w:t>
            </w:r>
          </w:p>
        </w:tc>
        <w:tc>
          <w:tcPr>
            <w:tcW w:w="2031" w:type="dxa"/>
            <w:vAlign w:val="center"/>
          </w:tcPr>
          <w:p w14:paraId="685A0381">
            <w:pPr>
              <w:pStyle w:val="39"/>
              <w:widowControl w:val="0"/>
              <w:spacing w:before="0" w:beforeAutospacing="0" w:after="0" w:afterAutospacing="0" w:line="360" w:lineRule="auto"/>
              <w:jc w:val="both"/>
              <w:rPr>
                <w:b w:val="0"/>
                <w:sz w:val="24"/>
              </w:rPr>
            </w:pPr>
            <w:r>
              <w:rPr>
                <w:rFonts w:hint="eastAsia"/>
                <w:b w:val="0"/>
                <w:sz w:val="24"/>
              </w:rPr>
              <w:t>履约保证金</w:t>
            </w:r>
          </w:p>
        </w:tc>
        <w:tc>
          <w:tcPr>
            <w:tcW w:w="6020" w:type="dxa"/>
            <w:vAlign w:val="center"/>
          </w:tcPr>
          <w:p w14:paraId="21A2DA6B">
            <w:pPr>
              <w:pStyle w:val="39"/>
              <w:widowControl w:val="0"/>
              <w:spacing w:before="0" w:beforeAutospacing="0" w:after="0" w:afterAutospacing="0" w:line="360" w:lineRule="auto"/>
              <w:jc w:val="both"/>
              <w:rPr>
                <w:b w:val="0"/>
                <w:sz w:val="24"/>
              </w:rPr>
            </w:pPr>
            <w:r>
              <w:rPr>
                <w:rFonts w:ascii="Segoe UI Symbol" w:hAnsi="Segoe UI Symbol" w:cs="Segoe UI Symbol"/>
                <w:b w:val="0"/>
                <w:sz w:val="24"/>
              </w:rPr>
              <w:t>☑</w:t>
            </w:r>
            <w:r>
              <w:rPr>
                <w:rFonts w:hint="eastAsia"/>
                <w:b w:val="0"/>
                <w:sz w:val="24"/>
              </w:rPr>
              <w:t>不收取</w:t>
            </w:r>
          </w:p>
          <w:p w14:paraId="01FCEBAC">
            <w:pPr>
              <w:pStyle w:val="39"/>
              <w:widowControl w:val="0"/>
              <w:spacing w:before="0" w:beforeAutospacing="0" w:after="0" w:afterAutospacing="0" w:line="360" w:lineRule="auto"/>
              <w:jc w:val="both"/>
              <w:rPr>
                <w:b w:val="0"/>
                <w:sz w:val="24"/>
              </w:rPr>
            </w:pPr>
            <w:r>
              <w:rPr>
                <w:rFonts w:hint="eastAsia"/>
                <w:b w:val="0"/>
                <w:sz w:val="24"/>
              </w:rPr>
              <w:t>□收取</w:t>
            </w:r>
          </w:p>
        </w:tc>
      </w:tr>
      <w:tr w14:paraId="4A942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2376650D">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8</w:t>
            </w:r>
          </w:p>
        </w:tc>
        <w:tc>
          <w:tcPr>
            <w:tcW w:w="2031" w:type="dxa"/>
            <w:vAlign w:val="center"/>
          </w:tcPr>
          <w:p w14:paraId="50495FD7">
            <w:pPr>
              <w:pStyle w:val="39"/>
              <w:widowControl w:val="0"/>
              <w:spacing w:before="0" w:beforeAutospacing="0" w:after="0" w:afterAutospacing="0" w:line="360" w:lineRule="auto"/>
              <w:jc w:val="both"/>
              <w:rPr>
                <w:b w:val="0"/>
                <w:sz w:val="24"/>
              </w:rPr>
            </w:pPr>
            <w:r>
              <w:rPr>
                <w:rFonts w:hint="eastAsia"/>
                <w:b w:val="0"/>
                <w:sz w:val="24"/>
              </w:rPr>
              <w:t>代理费</w:t>
            </w:r>
          </w:p>
        </w:tc>
        <w:tc>
          <w:tcPr>
            <w:tcW w:w="6020" w:type="dxa"/>
            <w:vAlign w:val="center"/>
          </w:tcPr>
          <w:p w14:paraId="776B2116">
            <w:pPr>
              <w:pStyle w:val="39"/>
              <w:widowControl w:val="0"/>
              <w:spacing w:before="0" w:beforeAutospacing="0" w:after="0" w:afterAutospacing="0" w:line="360" w:lineRule="auto"/>
              <w:jc w:val="both"/>
              <w:rPr>
                <w:b w:val="0"/>
                <w:sz w:val="24"/>
              </w:rPr>
            </w:pPr>
            <w:r>
              <w:rPr>
                <w:rFonts w:hint="eastAsia"/>
                <w:b w:val="0"/>
                <w:sz w:val="24"/>
              </w:rPr>
              <w:t>□不收取</w:t>
            </w:r>
          </w:p>
          <w:p w14:paraId="3B07B956">
            <w:pPr>
              <w:pStyle w:val="39"/>
              <w:widowControl w:val="0"/>
              <w:spacing w:before="0" w:beforeAutospacing="0" w:after="0" w:afterAutospacing="0" w:line="360" w:lineRule="auto"/>
              <w:jc w:val="both"/>
              <w:rPr>
                <w:bCs w:val="0"/>
                <w:sz w:val="24"/>
              </w:rPr>
            </w:pPr>
            <w:r>
              <w:rPr>
                <w:rFonts w:ascii="Segoe UI Symbol" w:hAnsi="Segoe UI Symbol" w:cs="Segoe UI Symbol"/>
                <w:bCs w:val="0"/>
                <w:sz w:val="24"/>
              </w:rPr>
              <w:t>☑</w:t>
            </w:r>
            <w:r>
              <w:rPr>
                <w:rFonts w:hint="eastAsia"/>
                <w:bCs w:val="0"/>
                <w:sz w:val="24"/>
              </w:rPr>
              <w:t>收取</w:t>
            </w:r>
          </w:p>
          <w:p w14:paraId="671C4C5F">
            <w:pPr>
              <w:spacing w:line="360" w:lineRule="auto"/>
              <w:rPr>
                <w:rFonts w:hint="eastAsia" w:eastAsia="宋体"/>
                <w:b/>
                <w:sz w:val="24"/>
                <w:szCs w:val="28"/>
                <w:lang w:eastAsia="zh-CN"/>
              </w:rPr>
            </w:pPr>
            <w:r>
              <w:rPr>
                <w:rFonts w:hint="eastAsia"/>
                <w:sz w:val="24"/>
                <w:szCs w:val="28"/>
              </w:rPr>
              <w:t>（1）金额</w:t>
            </w:r>
            <w:r>
              <w:rPr>
                <w:rFonts w:hint="eastAsia"/>
                <w:sz w:val="24"/>
                <w:szCs w:val="28"/>
                <w:u w:val="none"/>
                <w:lang w:eastAsia="zh-CN"/>
              </w:rPr>
              <w:t>：</w:t>
            </w:r>
          </w:p>
          <w:p w14:paraId="236F9794">
            <w:pPr>
              <w:spacing w:line="360" w:lineRule="auto"/>
              <w:rPr>
                <w:rFonts w:hint="default" w:eastAsia="宋体"/>
                <w:b/>
                <w:sz w:val="24"/>
                <w:szCs w:val="28"/>
                <w:lang w:val="en-US" w:eastAsia="zh-CN"/>
              </w:rPr>
            </w:pPr>
            <w:r>
              <w:rPr>
                <w:rFonts w:hint="eastAsia"/>
                <w:sz w:val="24"/>
                <w:szCs w:val="28"/>
                <w:lang w:eastAsia="zh-CN"/>
              </w:rPr>
              <w:t>☑</w:t>
            </w:r>
            <w:r>
              <w:rPr>
                <w:rFonts w:hint="eastAsia"/>
                <w:sz w:val="24"/>
                <w:szCs w:val="28"/>
              </w:rPr>
              <w:t>定额收取：</w:t>
            </w:r>
            <w:r>
              <w:rPr>
                <w:rFonts w:hint="eastAsia"/>
                <w:sz w:val="24"/>
                <w:szCs w:val="28"/>
                <w:lang w:val="en-US" w:eastAsia="zh-CN"/>
              </w:rPr>
              <w:t>第1包</w:t>
            </w:r>
            <w:r>
              <w:rPr>
                <w:rFonts w:hint="eastAsia"/>
                <w:sz w:val="24"/>
                <w:szCs w:val="28"/>
                <w:u w:val="single"/>
                <w:lang w:val="en-US" w:eastAsia="zh-CN"/>
              </w:rPr>
              <w:t>20000</w:t>
            </w:r>
            <w:r>
              <w:rPr>
                <w:rFonts w:hint="eastAsia"/>
                <w:sz w:val="24"/>
                <w:szCs w:val="28"/>
              </w:rPr>
              <w:t>元</w:t>
            </w:r>
            <w:r>
              <w:rPr>
                <w:rFonts w:hint="eastAsia"/>
                <w:sz w:val="24"/>
                <w:szCs w:val="28"/>
                <w:lang w:val="en-US" w:eastAsia="zh-CN"/>
              </w:rPr>
              <w:t>。</w:t>
            </w:r>
          </w:p>
          <w:p w14:paraId="1855044F">
            <w:pPr>
              <w:spacing w:line="360" w:lineRule="auto"/>
              <w:rPr>
                <w:rFonts w:hint="default" w:eastAsia="宋体"/>
                <w:sz w:val="24"/>
                <w:szCs w:val="28"/>
                <w:lang w:val="en-US" w:eastAsia="zh-CN"/>
              </w:rPr>
            </w:pPr>
            <w:r>
              <w:rPr>
                <w:rFonts w:hint="eastAsia" w:ascii="Segoe UI Symbol" w:hAnsi="Segoe UI Symbol" w:cs="Segoe UI Symbol"/>
                <w:sz w:val="24"/>
                <w:szCs w:val="28"/>
                <w:lang w:eastAsia="zh-CN"/>
              </w:rPr>
              <w:t>□</w:t>
            </w:r>
            <w:r>
              <w:rPr>
                <w:rFonts w:hint="eastAsia"/>
                <w:sz w:val="24"/>
                <w:szCs w:val="28"/>
              </w:rPr>
              <w:t>按下列标准收取：详见“</w:t>
            </w:r>
            <w:r>
              <w:rPr>
                <w:rFonts w:hint="eastAsia"/>
                <w:sz w:val="24"/>
                <w:szCs w:val="18"/>
                <w:lang w:eastAsia="zh-CN"/>
              </w:rPr>
              <w:t>供应商</w:t>
            </w:r>
            <w:r>
              <w:rPr>
                <w:rFonts w:hint="eastAsia"/>
                <w:sz w:val="24"/>
                <w:szCs w:val="28"/>
              </w:rPr>
              <w:t>须知正文27.代理费”，代理费不足</w:t>
            </w:r>
            <w:r>
              <w:rPr>
                <w:rFonts w:hint="eastAsia"/>
                <w:sz w:val="24"/>
                <w:szCs w:val="28"/>
                <w:lang w:val="en-US" w:eastAsia="zh-CN"/>
              </w:rPr>
              <w:t>4</w:t>
            </w:r>
            <w:r>
              <w:rPr>
                <w:rFonts w:hint="eastAsia"/>
                <w:sz w:val="24"/>
                <w:szCs w:val="28"/>
              </w:rPr>
              <w:t>000元按</w:t>
            </w:r>
            <w:r>
              <w:rPr>
                <w:rFonts w:hint="eastAsia"/>
                <w:sz w:val="24"/>
                <w:szCs w:val="28"/>
                <w:lang w:val="en-US" w:eastAsia="zh-CN"/>
              </w:rPr>
              <w:t>4</w:t>
            </w:r>
            <w:r>
              <w:rPr>
                <w:rFonts w:hint="eastAsia"/>
                <w:sz w:val="24"/>
                <w:szCs w:val="28"/>
              </w:rPr>
              <w:t>000元收取。</w:t>
            </w:r>
          </w:p>
          <w:p w14:paraId="6B6DFFF0">
            <w:pPr>
              <w:spacing w:line="360" w:lineRule="auto"/>
              <w:rPr>
                <w:b/>
                <w:sz w:val="24"/>
                <w:szCs w:val="28"/>
              </w:rPr>
            </w:pPr>
            <w:r>
              <w:rPr>
                <w:rFonts w:hint="eastAsia"/>
                <w:sz w:val="24"/>
                <w:szCs w:val="28"/>
              </w:rPr>
              <w:t>（2）支付方式：</w:t>
            </w:r>
            <w:r>
              <w:rPr>
                <w:rFonts w:ascii="Segoe UI Symbol" w:hAnsi="Segoe UI Symbol" w:cs="Segoe UI Symbol"/>
                <w:sz w:val="24"/>
                <w:szCs w:val="28"/>
              </w:rPr>
              <w:t>☑</w:t>
            </w:r>
            <w:r>
              <w:rPr>
                <w:sz w:val="24"/>
                <w:szCs w:val="28"/>
              </w:rPr>
              <w:t>转账/电汇</w:t>
            </w:r>
          </w:p>
          <w:p w14:paraId="554985CB">
            <w:pPr>
              <w:pStyle w:val="39"/>
              <w:widowControl w:val="0"/>
              <w:spacing w:before="0" w:beforeAutospacing="0" w:after="0" w:afterAutospacing="0" w:line="360" w:lineRule="auto"/>
              <w:jc w:val="both"/>
              <w:rPr>
                <w:rFonts w:hint="eastAsia" w:eastAsia="宋体"/>
                <w:b w:val="0"/>
                <w:bCs w:val="0"/>
                <w:sz w:val="24"/>
                <w:lang w:eastAsia="zh-CN"/>
              </w:rPr>
            </w:pPr>
            <w:r>
              <w:rPr>
                <w:rFonts w:hint="eastAsia"/>
                <w:b w:val="0"/>
                <w:bCs w:val="0"/>
                <w:sz w:val="24"/>
              </w:rPr>
              <w:t>（3）收取单位：</w:t>
            </w:r>
            <w:r>
              <w:rPr>
                <w:rFonts w:hint="eastAsia"/>
                <w:b w:val="0"/>
                <w:bCs w:val="0"/>
                <w:sz w:val="24"/>
                <w:lang w:eastAsia="zh-CN"/>
              </w:rPr>
              <w:t>肥西县派合商务服务有限公司</w:t>
            </w:r>
          </w:p>
        </w:tc>
      </w:tr>
      <w:tr w14:paraId="7AAA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0A201BAB">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1</w:t>
            </w:r>
            <w:r>
              <w:rPr>
                <w:rFonts w:hint="eastAsia"/>
                <w:bCs/>
                <w:kern w:val="2"/>
                <w:lang w:val="en-US" w:eastAsia="zh-CN"/>
              </w:rPr>
              <w:t>9</w:t>
            </w:r>
          </w:p>
        </w:tc>
        <w:tc>
          <w:tcPr>
            <w:tcW w:w="2031" w:type="dxa"/>
            <w:vAlign w:val="center"/>
          </w:tcPr>
          <w:p w14:paraId="551C9CBA">
            <w:pPr>
              <w:pStyle w:val="39"/>
              <w:widowControl w:val="0"/>
              <w:spacing w:before="0" w:beforeAutospacing="0" w:after="0" w:afterAutospacing="0" w:line="360" w:lineRule="auto"/>
              <w:jc w:val="both"/>
              <w:rPr>
                <w:b w:val="0"/>
                <w:sz w:val="24"/>
              </w:rPr>
            </w:pPr>
            <w:r>
              <w:rPr>
                <w:rFonts w:hint="eastAsia"/>
                <w:b w:val="0"/>
                <w:sz w:val="24"/>
              </w:rPr>
              <w:t>异议函递交方式、接收部门、联系电话和通讯地址</w:t>
            </w:r>
          </w:p>
        </w:tc>
        <w:tc>
          <w:tcPr>
            <w:tcW w:w="6020" w:type="dxa"/>
            <w:vAlign w:val="center"/>
          </w:tcPr>
          <w:p w14:paraId="70370ADC">
            <w:pPr>
              <w:pStyle w:val="39"/>
              <w:widowControl w:val="0"/>
              <w:spacing w:before="0" w:beforeAutospacing="0" w:after="0" w:afterAutospacing="0" w:line="360" w:lineRule="auto"/>
              <w:jc w:val="both"/>
              <w:rPr>
                <w:bCs w:val="0"/>
                <w:sz w:val="24"/>
              </w:rPr>
            </w:pPr>
            <w:r>
              <w:rPr>
                <w:rFonts w:hint="eastAsia"/>
                <w:bCs w:val="0"/>
                <w:sz w:val="24"/>
                <w:u w:val="single"/>
              </w:rPr>
              <w:t>递交方式：书面形式递交</w:t>
            </w:r>
          </w:p>
          <w:p w14:paraId="5F83F2D0">
            <w:pPr>
              <w:pStyle w:val="39"/>
              <w:widowControl w:val="0"/>
              <w:spacing w:before="0" w:beforeAutospacing="0" w:after="0" w:afterAutospacing="0" w:line="360" w:lineRule="auto"/>
              <w:jc w:val="both"/>
              <w:rPr>
                <w:rFonts w:hint="eastAsia" w:eastAsia="宋体"/>
                <w:b w:val="0"/>
                <w:bCs w:val="0"/>
                <w:sz w:val="24"/>
                <w:szCs w:val="18"/>
                <w:u w:val="single"/>
                <w:lang w:eastAsia="zh-CN"/>
              </w:rPr>
            </w:pPr>
            <w:r>
              <w:rPr>
                <w:rFonts w:hint="eastAsia"/>
                <w:b w:val="0"/>
                <w:sz w:val="24"/>
              </w:rPr>
              <w:t>接收部门：</w:t>
            </w:r>
            <w:r>
              <w:rPr>
                <w:rFonts w:hint="eastAsia"/>
                <w:b w:val="0"/>
                <w:bCs w:val="0"/>
                <w:sz w:val="24"/>
                <w:szCs w:val="18"/>
                <w:u w:val="single"/>
                <w:lang w:eastAsia="zh-CN"/>
              </w:rPr>
              <w:t>肥西县派合商务服务有限公司</w:t>
            </w:r>
          </w:p>
          <w:p w14:paraId="77EB966C">
            <w:pPr>
              <w:pStyle w:val="39"/>
              <w:widowControl w:val="0"/>
              <w:spacing w:before="0" w:beforeAutospacing="0" w:after="0" w:afterAutospacing="0" w:line="360" w:lineRule="auto"/>
              <w:jc w:val="both"/>
              <w:rPr>
                <w:rFonts w:hint="eastAsia" w:eastAsia="宋体"/>
                <w:b w:val="0"/>
                <w:bCs w:val="0"/>
                <w:sz w:val="24"/>
                <w:szCs w:val="18"/>
                <w:u w:val="single"/>
                <w:lang w:eastAsia="zh-CN"/>
              </w:rPr>
            </w:pPr>
            <w:r>
              <w:rPr>
                <w:b w:val="0"/>
                <w:sz w:val="24"/>
              </w:rPr>
              <w:t>联系电话：</w:t>
            </w:r>
            <w:r>
              <w:rPr>
                <w:rFonts w:hint="eastAsia"/>
                <w:b w:val="0"/>
                <w:bCs w:val="0"/>
                <w:sz w:val="24"/>
                <w:szCs w:val="18"/>
                <w:u w:val="single"/>
              </w:rPr>
              <w:t>0551-</w:t>
            </w:r>
            <w:r>
              <w:rPr>
                <w:rFonts w:hint="eastAsia"/>
                <w:b w:val="0"/>
                <w:bCs w:val="0"/>
                <w:sz w:val="24"/>
                <w:szCs w:val="18"/>
                <w:u w:val="single"/>
                <w:lang w:eastAsia="zh-CN"/>
              </w:rPr>
              <w:t>68825007</w:t>
            </w:r>
          </w:p>
          <w:p w14:paraId="57DA44E0">
            <w:pPr>
              <w:pStyle w:val="39"/>
              <w:widowControl w:val="0"/>
              <w:spacing w:before="0" w:beforeAutospacing="0" w:after="0" w:afterAutospacing="0" w:line="360" w:lineRule="auto"/>
              <w:jc w:val="both"/>
              <w:rPr>
                <w:b w:val="0"/>
                <w:sz w:val="24"/>
              </w:rPr>
            </w:pPr>
            <w:r>
              <w:rPr>
                <w:rFonts w:hint="eastAsia"/>
                <w:b w:val="0"/>
                <w:sz w:val="24"/>
              </w:rPr>
              <w:t>通讯地址：</w:t>
            </w:r>
            <w:r>
              <w:rPr>
                <w:rFonts w:hint="eastAsia"/>
                <w:b w:val="0"/>
                <w:bCs w:val="0"/>
                <w:sz w:val="24"/>
                <w:szCs w:val="18"/>
                <w:u w:val="single"/>
              </w:rPr>
              <w:t>肥西县上派镇紫石路与佛光路交叉口肥光办公区3号楼2楼321</w:t>
            </w:r>
            <w:r>
              <w:rPr>
                <w:rFonts w:hint="eastAsia"/>
                <w:b w:val="0"/>
                <w:bCs w:val="0"/>
                <w:sz w:val="24"/>
                <w:szCs w:val="18"/>
                <w:u w:val="single"/>
                <w:lang w:val="en-US" w:eastAsia="zh-CN"/>
              </w:rPr>
              <w:t>7-1</w:t>
            </w:r>
            <w:r>
              <w:rPr>
                <w:rFonts w:hint="eastAsia"/>
                <w:b w:val="0"/>
                <w:bCs w:val="0"/>
                <w:sz w:val="24"/>
                <w:szCs w:val="18"/>
                <w:u w:val="single"/>
              </w:rPr>
              <w:t>室</w:t>
            </w:r>
          </w:p>
        </w:tc>
      </w:tr>
      <w:tr w14:paraId="124D0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6A5F4C5">
            <w:pPr>
              <w:pStyle w:val="40"/>
              <w:pBdr>
                <w:bottom w:val="none" w:color="auto" w:sz="0" w:space="0"/>
              </w:pBdr>
              <w:tabs>
                <w:tab w:val="clear" w:pos="4153"/>
                <w:tab w:val="clear" w:pos="8306"/>
              </w:tabs>
              <w:adjustRightInd/>
              <w:spacing w:line="360" w:lineRule="auto"/>
              <w:textAlignment w:val="auto"/>
              <w:rPr>
                <w:rFonts w:hint="default" w:eastAsia="宋体"/>
                <w:bCs/>
                <w:kern w:val="2"/>
                <w:lang w:val="en-US" w:eastAsia="zh-CN"/>
              </w:rPr>
            </w:pPr>
            <w:r>
              <w:rPr>
                <w:rFonts w:hint="eastAsia"/>
                <w:bCs/>
                <w:kern w:val="2"/>
                <w:lang w:val="en-US" w:eastAsia="zh-CN"/>
              </w:rPr>
              <w:t>20</w:t>
            </w:r>
          </w:p>
        </w:tc>
        <w:tc>
          <w:tcPr>
            <w:tcW w:w="2031" w:type="dxa"/>
            <w:vAlign w:val="center"/>
          </w:tcPr>
          <w:p w14:paraId="062C0D9C">
            <w:pPr>
              <w:pStyle w:val="39"/>
              <w:widowControl w:val="0"/>
              <w:spacing w:before="0" w:beforeAutospacing="0" w:after="0" w:afterAutospacing="0" w:line="360" w:lineRule="auto"/>
              <w:jc w:val="both"/>
              <w:rPr>
                <w:b w:val="0"/>
                <w:sz w:val="24"/>
              </w:rPr>
            </w:pPr>
            <w:r>
              <w:rPr>
                <w:rFonts w:hint="eastAsia"/>
                <w:b w:val="0"/>
                <w:sz w:val="24"/>
                <w:lang w:val="en-US" w:eastAsia="zh-CN"/>
              </w:rPr>
              <w:t>服务周</w:t>
            </w:r>
            <w:r>
              <w:rPr>
                <w:b w:val="0"/>
                <w:sz w:val="24"/>
              </w:rPr>
              <w:t>期</w:t>
            </w:r>
          </w:p>
        </w:tc>
        <w:tc>
          <w:tcPr>
            <w:tcW w:w="6020" w:type="dxa"/>
            <w:vAlign w:val="center"/>
          </w:tcPr>
          <w:p w14:paraId="601CB7EE">
            <w:pPr>
              <w:pStyle w:val="39"/>
              <w:widowControl w:val="0"/>
              <w:spacing w:before="0" w:beforeAutospacing="0" w:after="0" w:afterAutospacing="0" w:line="360" w:lineRule="auto"/>
              <w:jc w:val="both"/>
              <w:rPr>
                <w:rFonts w:hint="eastAsia" w:eastAsia="宋体"/>
                <w:b w:val="0"/>
                <w:sz w:val="24"/>
                <w:lang w:eastAsia="zh-CN"/>
              </w:rPr>
            </w:pPr>
            <w:r>
              <w:rPr>
                <w:rFonts w:hint="eastAsia"/>
                <w:b w:val="0"/>
                <w:sz w:val="24"/>
                <w:lang w:val="en-US" w:eastAsia="zh-CN"/>
              </w:rPr>
              <w:t>一年</w:t>
            </w:r>
          </w:p>
        </w:tc>
      </w:tr>
      <w:tr w14:paraId="7CDC3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577CD77D">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1</w:t>
            </w:r>
          </w:p>
        </w:tc>
        <w:tc>
          <w:tcPr>
            <w:tcW w:w="2031" w:type="dxa"/>
            <w:vAlign w:val="center"/>
          </w:tcPr>
          <w:p w14:paraId="2280BE14">
            <w:pPr>
              <w:pStyle w:val="39"/>
              <w:widowControl w:val="0"/>
              <w:spacing w:before="0" w:beforeAutospacing="0" w:after="0" w:afterAutospacing="0" w:line="360" w:lineRule="auto"/>
              <w:jc w:val="both"/>
              <w:rPr>
                <w:b w:val="0"/>
                <w:sz w:val="24"/>
              </w:rPr>
            </w:pPr>
            <w:r>
              <w:rPr>
                <w:rFonts w:hint="eastAsia"/>
                <w:b w:val="0"/>
                <w:sz w:val="24"/>
              </w:rPr>
              <w:t>质量标准要求</w:t>
            </w:r>
          </w:p>
        </w:tc>
        <w:tc>
          <w:tcPr>
            <w:tcW w:w="6020" w:type="dxa"/>
            <w:vAlign w:val="center"/>
          </w:tcPr>
          <w:p w14:paraId="406A6A74">
            <w:pPr>
              <w:pStyle w:val="41"/>
              <w:tabs>
                <w:tab w:val="left" w:pos="1152"/>
              </w:tabs>
              <w:spacing w:before="0" w:beforeAutospacing="0" w:after="0" w:afterAutospacing="0" w:line="360" w:lineRule="auto"/>
              <w:rPr>
                <w:rFonts w:cs="@仿宋_GB2312"/>
                <w:bCs/>
                <w:szCs w:val="28"/>
              </w:rPr>
            </w:pPr>
            <w:r>
              <w:rPr>
                <w:rFonts w:hint="eastAsia" w:cs="@仿宋_GB2312"/>
                <w:bCs/>
                <w:szCs w:val="28"/>
              </w:rPr>
              <w:t>质量标准：合格</w:t>
            </w:r>
          </w:p>
        </w:tc>
      </w:tr>
      <w:tr w14:paraId="6DC7B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3D4510D9">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2</w:t>
            </w:r>
          </w:p>
        </w:tc>
        <w:tc>
          <w:tcPr>
            <w:tcW w:w="2031" w:type="dxa"/>
            <w:vAlign w:val="center"/>
          </w:tcPr>
          <w:p w14:paraId="01F33297">
            <w:pPr>
              <w:pStyle w:val="42"/>
              <w:spacing w:line="360" w:lineRule="auto"/>
              <w:jc w:val="left"/>
              <w:rPr>
                <w:sz w:val="24"/>
              </w:rPr>
            </w:pPr>
            <w:r>
              <w:rPr>
                <w:sz w:val="24"/>
              </w:rPr>
              <w:t>同义词语</w:t>
            </w:r>
          </w:p>
        </w:tc>
        <w:tc>
          <w:tcPr>
            <w:tcW w:w="6020" w:type="dxa"/>
            <w:vAlign w:val="center"/>
          </w:tcPr>
          <w:p w14:paraId="755BB1D5">
            <w:pPr>
              <w:pStyle w:val="42"/>
              <w:spacing w:line="360" w:lineRule="auto"/>
              <w:jc w:val="both"/>
              <w:rPr>
                <w:sz w:val="24"/>
              </w:rPr>
            </w:pPr>
            <w:r>
              <w:rPr>
                <w:spacing w:val="-1"/>
                <w:sz w:val="24"/>
              </w:rPr>
              <w:t>构成</w:t>
            </w:r>
            <w:r>
              <w:rPr>
                <w:rFonts w:hint="eastAsia"/>
                <w:spacing w:val="-1"/>
                <w:sz w:val="24"/>
              </w:rPr>
              <w:t>磋商</w:t>
            </w:r>
            <w:r>
              <w:rPr>
                <w:spacing w:val="-1"/>
                <w:sz w:val="24"/>
              </w:rPr>
              <w:t>文件组成部分的“通用合同条款”、“专用合同条款”、“技术标准和要求”和“工程量清单”</w:t>
            </w:r>
            <w:r>
              <w:rPr>
                <w:spacing w:val="-12"/>
                <w:sz w:val="24"/>
              </w:rPr>
              <w:t>等章节中“发包人”和“承包人”，等同于</w:t>
            </w:r>
            <w:r>
              <w:rPr>
                <w:rFonts w:hint="eastAsia"/>
                <w:spacing w:val="-12"/>
                <w:sz w:val="24"/>
              </w:rPr>
              <w:t>磋商</w:t>
            </w:r>
            <w:r>
              <w:rPr>
                <w:sz w:val="24"/>
              </w:rPr>
              <w:t>阶段的“</w:t>
            </w:r>
            <w:r>
              <w:rPr>
                <w:rFonts w:hint="eastAsia"/>
                <w:sz w:val="24"/>
                <w:szCs w:val="18"/>
              </w:rPr>
              <w:t>业主单位</w:t>
            </w:r>
            <w:r>
              <w:rPr>
                <w:sz w:val="24"/>
              </w:rPr>
              <w:t>”和“</w:t>
            </w:r>
            <w:r>
              <w:rPr>
                <w:rFonts w:hint="eastAsia"/>
                <w:sz w:val="24"/>
                <w:lang w:val="en-US"/>
              </w:rPr>
              <w:t>供应商</w:t>
            </w:r>
            <w:r>
              <w:rPr>
                <w:sz w:val="24"/>
              </w:rPr>
              <w:t>”。</w:t>
            </w:r>
          </w:p>
        </w:tc>
      </w:tr>
      <w:tr w14:paraId="6450A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419291DA">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3</w:t>
            </w:r>
          </w:p>
        </w:tc>
        <w:tc>
          <w:tcPr>
            <w:tcW w:w="2031" w:type="dxa"/>
            <w:vAlign w:val="center"/>
          </w:tcPr>
          <w:p w14:paraId="296BDA48">
            <w:pPr>
              <w:pStyle w:val="39"/>
              <w:widowControl w:val="0"/>
              <w:spacing w:before="0" w:beforeAutospacing="0" w:after="0" w:afterAutospacing="0" w:line="360" w:lineRule="auto"/>
              <w:jc w:val="left"/>
              <w:rPr>
                <w:b w:val="0"/>
                <w:sz w:val="24"/>
              </w:rPr>
            </w:pPr>
            <w:r>
              <w:rPr>
                <w:rFonts w:hint="eastAsia"/>
                <w:b w:val="0"/>
                <w:sz w:val="24"/>
              </w:rPr>
              <w:t>社保</w:t>
            </w:r>
            <w:r>
              <w:rPr>
                <w:b w:val="0"/>
                <w:sz w:val="24"/>
              </w:rPr>
              <w:t>证明材料</w:t>
            </w:r>
          </w:p>
          <w:p w14:paraId="18F260C5">
            <w:pPr>
              <w:pStyle w:val="39"/>
              <w:widowControl w:val="0"/>
              <w:spacing w:before="0" w:beforeAutospacing="0" w:after="0" w:afterAutospacing="0" w:line="360" w:lineRule="auto"/>
              <w:jc w:val="left"/>
              <w:rPr>
                <w:b w:val="0"/>
                <w:sz w:val="24"/>
              </w:rPr>
            </w:pPr>
            <w:r>
              <w:rPr>
                <w:rFonts w:hint="eastAsia"/>
                <w:b w:val="0"/>
                <w:sz w:val="24"/>
              </w:rPr>
              <w:t>（如有</w:t>
            </w:r>
            <w:r>
              <w:rPr>
                <w:b w:val="0"/>
                <w:sz w:val="24"/>
              </w:rPr>
              <w:t>）</w:t>
            </w:r>
          </w:p>
        </w:tc>
        <w:tc>
          <w:tcPr>
            <w:tcW w:w="6020" w:type="dxa"/>
            <w:vAlign w:val="center"/>
          </w:tcPr>
          <w:p w14:paraId="445F297C">
            <w:pPr>
              <w:pStyle w:val="39"/>
              <w:widowControl w:val="0"/>
              <w:spacing w:before="0" w:beforeAutospacing="0" w:after="0" w:afterAutospacing="0" w:line="360" w:lineRule="auto"/>
              <w:jc w:val="both"/>
              <w:rPr>
                <w:b w:val="0"/>
                <w:sz w:val="24"/>
              </w:rPr>
            </w:pPr>
            <w:r>
              <w:rPr>
                <w:rFonts w:hint="eastAsia"/>
                <w:b w:val="0"/>
                <w:sz w:val="24"/>
              </w:rPr>
              <w:t>本项目磋商文件中要求提供的社保</w:t>
            </w:r>
            <w:r>
              <w:rPr>
                <w:b w:val="0"/>
                <w:sz w:val="24"/>
              </w:rPr>
              <w:t>证明材料</w:t>
            </w:r>
            <w:r>
              <w:rPr>
                <w:rFonts w:hint="eastAsia"/>
                <w:b w:val="0"/>
                <w:sz w:val="24"/>
              </w:rPr>
              <w:t>为下述形式之一（响应文件中须提供扫描件）：</w:t>
            </w:r>
          </w:p>
          <w:p w14:paraId="43731BB2">
            <w:pPr>
              <w:pStyle w:val="39"/>
              <w:widowControl w:val="0"/>
              <w:spacing w:before="0" w:beforeAutospacing="0" w:after="0" w:afterAutospacing="0" w:line="360" w:lineRule="auto"/>
              <w:jc w:val="both"/>
              <w:rPr>
                <w:b w:val="0"/>
                <w:sz w:val="24"/>
              </w:rPr>
            </w:pPr>
            <w:r>
              <w:rPr>
                <w:rFonts w:hint="eastAsia"/>
                <w:b w:val="0"/>
                <w:sz w:val="24"/>
              </w:rPr>
              <w:t>（1）</w:t>
            </w:r>
            <w:r>
              <w:rPr>
                <w:b w:val="0"/>
                <w:sz w:val="24"/>
              </w:rPr>
              <w:t>社保局官方网站查询的缴费记录截图；</w:t>
            </w:r>
          </w:p>
          <w:p w14:paraId="5FA37F96">
            <w:pPr>
              <w:pStyle w:val="39"/>
              <w:widowControl w:val="0"/>
              <w:spacing w:before="0" w:beforeAutospacing="0" w:after="0" w:afterAutospacing="0" w:line="360" w:lineRule="auto"/>
              <w:jc w:val="both"/>
              <w:rPr>
                <w:b w:val="0"/>
                <w:sz w:val="24"/>
              </w:rPr>
            </w:pPr>
            <w:r>
              <w:rPr>
                <w:rFonts w:hint="eastAsia"/>
                <w:b w:val="0"/>
                <w:sz w:val="24"/>
              </w:rPr>
              <w:t>（2）</w:t>
            </w:r>
            <w:r>
              <w:rPr>
                <w:b w:val="0"/>
                <w:sz w:val="24"/>
              </w:rPr>
              <w:t>社保局的书面证明材料；</w:t>
            </w:r>
          </w:p>
          <w:p w14:paraId="094FB5E2">
            <w:pPr>
              <w:pStyle w:val="39"/>
              <w:widowControl w:val="0"/>
              <w:spacing w:before="0" w:beforeAutospacing="0" w:after="0" w:afterAutospacing="0" w:line="360" w:lineRule="auto"/>
              <w:jc w:val="both"/>
              <w:rPr>
                <w:b w:val="0"/>
                <w:sz w:val="24"/>
              </w:rPr>
            </w:pPr>
            <w:r>
              <w:rPr>
                <w:rFonts w:hint="eastAsia"/>
                <w:b w:val="0"/>
                <w:sz w:val="24"/>
              </w:rPr>
              <w:t>（3）</w:t>
            </w:r>
            <w:r>
              <w:rPr>
                <w:b w:val="0"/>
                <w:sz w:val="24"/>
              </w:rPr>
              <w:t>经</w:t>
            </w:r>
            <w:r>
              <w:rPr>
                <w:rFonts w:hint="eastAsia"/>
                <w:b w:val="0"/>
                <w:sz w:val="24"/>
              </w:rPr>
              <w:t>供应商</w:t>
            </w:r>
            <w:r>
              <w:rPr>
                <w:b w:val="0"/>
                <w:sz w:val="24"/>
              </w:rPr>
              <w:t>委托的第三方人力资源服务机构或与</w:t>
            </w:r>
            <w:r>
              <w:rPr>
                <w:rFonts w:hint="eastAsia"/>
                <w:b w:val="0"/>
                <w:sz w:val="24"/>
              </w:rPr>
              <w:t>供应商</w:t>
            </w:r>
            <w:r>
              <w:rPr>
                <w:b w:val="0"/>
                <w:sz w:val="24"/>
              </w:rPr>
              <w:t>有直接隶属关系的机构可以代缴社保，但须提供有关证明材料并经</w:t>
            </w:r>
            <w:r>
              <w:rPr>
                <w:rFonts w:hint="eastAsia"/>
                <w:b w:val="0"/>
                <w:sz w:val="24"/>
              </w:rPr>
              <w:t>磋商小组</w:t>
            </w:r>
            <w:r>
              <w:rPr>
                <w:b w:val="0"/>
                <w:sz w:val="24"/>
              </w:rPr>
              <w:t>确认。</w:t>
            </w:r>
          </w:p>
          <w:p w14:paraId="6D05A933">
            <w:pPr>
              <w:pStyle w:val="39"/>
              <w:widowControl w:val="0"/>
              <w:spacing w:before="0" w:beforeAutospacing="0" w:after="0" w:afterAutospacing="0" w:line="360" w:lineRule="auto"/>
              <w:jc w:val="both"/>
              <w:rPr>
                <w:b w:val="0"/>
                <w:sz w:val="24"/>
              </w:rPr>
            </w:pPr>
            <w:r>
              <w:rPr>
                <w:rFonts w:hint="eastAsia"/>
                <w:b w:val="0"/>
                <w:sz w:val="24"/>
              </w:rPr>
              <w:t>（4）</w:t>
            </w:r>
            <w:r>
              <w:rPr>
                <w:b w:val="0"/>
                <w:sz w:val="24"/>
              </w:rPr>
              <w:t>参与</w:t>
            </w:r>
            <w:r>
              <w:rPr>
                <w:rFonts w:hint="eastAsia"/>
                <w:b w:val="0"/>
                <w:sz w:val="24"/>
              </w:rPr>
              <w:t>磋商</w:t>
            </w:r>
            <w:r>
              <w:rPr>
                <w:b w:val="0"/>
                <w:sz w:val="24"/>
              </w:rPr>
              <w:t>的院校，社保证明可以用以下任意一种：</w:t>
            </w:r>
          </w:p>
          <w:p w14:paraId="539401AC">
            <w:pPr>
              <w:pStyle w:val="39"/>
              <w:widowControl w:val="0"/>
              <w:spacing w:before="0" w:beforeAutospacing="0" w:after="0" w:afterAutospacing="0" w:line="360" w:lineRule="auto"/>
              <w:jc w:val="both"/>
              <w:rPr>
                <w:b w:val="0"/>
                <w:sz w:val="24"/>
              </w:rPr>
            </w:pPr>
            <w:r>
              <w:rPr>
                <w:rFonts w:hint="eastAsia"/>
                <w:b w:val="0"/>
                <w:sz w:val="24"/>
              </w:rPr>
              <w:t>①</w:t>
            </w:r>
            <w:r>
              <w:rPr>
                <w:b w:val="0"/>
                <w:sz w:val="24"/>
              </w:rPr>
              <w:t>加盖</w:t>
            </w:r>
            <w:r>
              <w:rPr>
                <w:rFonts w:hint="eastAsia"/>
                <w:b w:val="0"/>
                <w:sz w:val="24"/>
              </w:rPr>
              <w:t>供应商</w:t>
            </w:r>
            <w:r>
              <w:rPr>
                <w:b w:val="0"/>
                <w:sz w:val="24"/>
              </w:rPr>
              <w:t>公章的教师证（须为本</w:t>
            </w:r>
            <w:r>
              <w:rPr>
                <w:rFonts w:hint="eastAsia"/>
                <w:b w:val="0"/>
                <w:sz w:val="24"/>
              </w:rPr>
              <w:t>单位</w:t>
            </w:r>
            <w:r>
              <w:rPr>
                <w:b w:val="0"/>
                <w:sz w:val="24"/>
              </w:rPr>
              <w:t>人员）</w:t>
            </w:r>
            <w:r>
              <w:rPr>
                <w:rFonts w:hint="eastAsia"/>
                <w:b w:val="0"/>
                <w:sz w:val="24"/>
              </w:rPr>
              <w:t>；</w:t>
            </w:r>
          </w:p>
          <w:p w14:paraId="69908994">
            <w:pPr>
              <w:pStyle w:val="39"/>
              <w:widowControl w:val="0"/>
              <w:spacing w:before="0" w:beforeAutospacing="0" w:after="0" w:afterAutospacing="0" w:line="360" w:lineRule="auto"/>
              <w:jc w:val="both"/>
              <w:rPr>
                <w:b w:val="0"/>
                <w:sz w:val="24"/>
              </w:rPr>
            </w:pPr>
            <w:r>
              <w:rPr>
                <w:rFonts w:hint="eastAsia"/>
                <w:b w:val="0"/>
                <w:sz w:val="24"/>
              </w:rPr>
              <w:t>②</w:t>
            </w:r>
            <w:r>
              <w:rPr>
                <w:b w:val="0"/>
                <w:sz w:val="24"/>
              </w:rPr>
              <w:t>医保证明材料</w:t>
            </w:r>
            <w:r>
              <w:rPr>
                <w:rFonts w:hint="eastAsia"/>
                <w:b w:val="0"/>
                <w:sz w:val="24"/>
              </w:rPr>
              <w:t>。</w:t>
            </w:r>
          </w:p>
          <w:p w14:paraId="1560AE6E">
            <w:pPr>
              <w:pStyle w:val="39"/>
              <w:widowControl w:val="0"/>
              <w:spacing w:before="0" w:beforeAutospacing="0" w:after="0" w:afterAutospacing="0" w:line="360" w:lineRule="auto"/>
              <w:jc w:val="both"/>
              <w:rPr>
                <w:b w:val="0"/>
                <w:sz w:val="24"/>
              </w:rPr>
            </w:pPr>
            <w:r>
              <w:rPr>
                <w:rFonts w:hint="eastAsia"/>
                <w:b w:val="0"/>
                <w:sz w:val="24"/>
              </w:rPr>
              <w:t>（5）</w:t>
            </w:r>
            <w:r>
              <w:rPr>
                <w:b w:val="0"/>
                <w:sz w:val="24"/>
              </w:rPr>
              <w:t>其他经</w:t>
            </w:r>
            <w:r>
              <w:rPr>
                <w:rFonts w:hint="eastAsia"/>
                <w:b w:val="0"/>
                <w:sz w:val="24"/>
              </w:rPr>
              <w:t>磋商小组</w:t>
            </w:r>
            <w:r>
              <w:rPr>
                <w:b w:val="0"/>
                <w:sz w:val="24"/>
              </w:rPr>
              <w:t>认可的证明材料。</w:t>
            </w:r>
          </w:p>
          <w:p w14:paraId="54047242">
            <w:pPr>
              <w:pStyle w:val="39"/>
              <w:widowControl w:val="0"/>
              <w:spacing w:before="0" w:beforeAutospacing="0" w:after="0" w:afterAutospacing="0" w:line="360" w:lineRule="auto"/>
              <w:jc w:val="both"/>
              <w:rPr>
                <w:b w:val="0"/>
                <w:sz w:val="24"/>
              </w:rPr>
            </w:pPr>
            <w:r>
              <w:rPr>
                <w:rFonts w:hint="eastAsia"/>
                <w:b w:val="0"/>
                <w:sz w:val="24"/>
              </w:rPr>
              <w:t>（6）法定代表人参与项目的，无需提供社保证明材料，提供身份证明材料即可。</w:t>
            </w:r>
          </w:p>
        </w:tc>
      </w:tr>
      <w:tr w14:paraId="275B45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999" w:type="dxa"/>
            <w:vAlign w:val="center"/>
          </w:tcPr>
          <w:p w14:paraId="1B551340">
            <w:pPr>
              <w:pStyle w:val="40"/>
              <w:pBdr>
                <w:bottom w:val="none" w:color="auto" w:sz="0" w:space="0"/>
              </w:pBdr>
              <w:tabs>
                <w:tab w:val="clear" w:pos="4153"/>
                <w:tab w:val="clear" w:pos="8306"/>
              </w:tabs>
              <w:adjustRightInd/>
              <w:spacing w:line="360" w:lineRule="auto"/>
              <w:textAlignment w:val="auto"/>
              <w:rPr>
                <w:rFonts w:hint="eastAsia" w:eastAsia="宋体"/>
                <w:bCs/>
                <w:kern w:val="2"/>
                <w:lang w:eastAsia="zh-CN"/>
              </w:rPr>
            </w:pPr>
            <w:r>
              <w:rPr>
                <w:rFonts w:hint="eastAsia"/>
                <w:bCs/>
                <w:kern w:val="2"/>
              </w:rPr>
              <w:t>2</w:t>
            </w:r>
            <w:r>
              <w:rPr>
                <w:rFonts w:hint="eastAsia"/>
                <w:bCs/>
                <w:kern w:val="2"/>
                <w:lang w:val="en-US" w:eastAsia="zh-CN"/>
              </w:rPr>
              <w:t>4</w:t>
            </w:r>
          </w:p>
        </w:tc>
        <w:tc>
          <w:tcPr>
            <w:tcW w:w="2031" w:type="dxa"/>
            <w:vAlign w:val="center"/>
          </w:tcPr>
          <w:p w14:paraId="63CC66A7">
            <w:pPr>
              <w:pStyle w:val="39"/>
              <w:widowControl w:val="0"/>
              <w:spacing w:before="0" w:beforeAutospacing="0" w:after="0" w:afterAutospacing="0" w:line="360" w:lineRule="auto"/>
              <w:jc w:val="left"/>
              <w:rPr>
                <w:b w:val="0"/>
                <w:sz w:val="24"/>
              </w:rPr>
            </w:pPr>
            <w:r>
              <w:rPr>
                <w:rFonts w:hint="eastAsia"/>
                <w:b w:val="0"/>
                <w:sz w:val="24"/>
              </w:rPr>
              <w:t>解释权</w:t>
            </w:r>
          </w:p>
        </w:tc>
        <w:tc>
          <w:tcPr>
            <w:tcW w:w="6020" w:type="dxa"/>
            <w:vAlign w:val="center"/>
          </w:tcPr>
          <w:p w14:paraId="6571547A">
            <w:pPr>
              <w:spacing w:line="360" w:lineRule="auto"/>
              <w:rPr>
                <w:bCs/>
                <w:sz w:val="24"/>
                <w:szCs w:val="24"/>
              </w:rPr>
            </w:pPr>
            <w:r>
              <w:rPr>
                <w:rFonts w:hint="eastAsia"/>
                <w:bCs/>
                <w:sz w:val="24"/>
                <w:szCs w:val="24"/>
              </w:rPr>
              <w:t>（1）</w:t>
            </w:r>
            <w:r>
              <w:rPr>
                <w:bCs/>
                <w:sz w:val="24"/>
                <w:szCs w:val="24"/>
              </w:rPr>
              <w:t>构成本</w:t>
            </w:r>
            <w:r>
              <w:rPr>
                <w:rFonts w:hint="eastAsia"/>
                <w:bCs/>
                <w:sz w:val="24"/>
                <w:szCs w:val="24"/>
              </w:rPr>
              <w:t>磋商</w:t>
            </w:r>
            <w:r>
              <w:rPr>
                <w:bCs/>
                <w:sz w:val="24"/>
                <w:szCs w:val="24"/>
              </w:rPr>
              <w:t>文件的各个组成文件应互为解释，互为说明；</w:t>
            </w:r>
          </w:p>
          <w:p w14:paraId="731DDADE">
            <w:pPr>
              <w:spacing w:line="360" w:lineRule="auto"/>
              <w:rPr>
                <w:bCs/>
                <w:sz w:val="24"/>
                <w:szCs w:val="24"/>
              </w:rPr>
            </w:pPr>
            <w:r>
              <w:rPr>
                <w:rFonts w:hint="eastAsia"/>
                <w:bCs/>
                <w:sz w:val="24"/>
                <w:szCs w:val="24"/>
              </w:rPr>
              <w:t>（2）</w:t>
            </w:r>
            <w:r>
              <w:rPr>
                <w:bCs/>
                <w:sz w:val="24"/>
                <w:szCs w:val="24"/>
              </w:rPr>
              <w:t>同一组成文件中就同一事项的规定或约定不一致的，以编排顺序在后者为准；</w:t>
            </w:r>
          </w:p>
          <w:p w14:paraId="22CBB80D">
            <w:pPr>
              <w:spacing w:line="360" w:lineRule="auto"/>
              <w:rPr>
                <w:bCs/>
                <w:sz w:val="24"/>
                <w:szCs w:val="24"/>
              </w:rPr>
            </w:pPr>
            <w:r>
              <w:rPr>
                <w:rFonts w:hint="eastAsia"/>
                <w:bCs/>
                <w:sz w:val="24"/>
                <w:szCs w:val="24"/>
              </w:rPr>
              <w:t>（3）</w:t>
            </w:r>
            <w:r>
              <w:rPr>
                <w:bCs/>
                <w:sz w:val="24"/>
                <w:szCs w:val="24"/>
              </w:rPr>
              <w:t>如有不明确或不一致，构成合同文件组成内容的，以合同文件约定内容为准，且以专用合同条款约定的合同文件优先顺序解释；</w:t>
            </w:r>
          </w:p>
          <w:p w14:paraId="21D0AACA">
            <w:pPr>
              <w:spacing w:line="360" w:lineRule="auto"/>
              <w:rPr>
                <w:bCs/>
                <w:sz w:val="24"/>
                <w:szCs w:val="24"/>
              </w:rPr>
            </w:pPr>
            <w:r>
              <w:rPr>
                <w:rFonts w:hint="eastAsia"/>
                <w:bCs/>
                <w:sz w:val="24"/>
                <w:szCs w:val="24"/>
              </w:rPr>
              <w:t>（4）</w:t>
            </w:r>
            <w:r>
              <w:rPr>
                <w:bCs/>
                <w:sz w:val="24"/>
                <w:szCs w:val="24"/>
              </w:rPr>
              <w:t>除</w:t>
            </w:r>
            <w:r>
              <w:rPr>
                <w:rFonts w:hint="eastAsia"/>
                <w:bCs/>
                <w:sz w:val="24"/>
                <w:szCs w:val="24"/>
              </w:rPr>
              <w:t>磋商</w:t>
            </w:r>
            <w:r>
              <w:rPr>
                <w:bCs/>
                <w:sz w:val="24"/>
                <w:szCs w:val="24"/>
              </w:rPr>
              <w:t>文件中有特别规定外，仅适用于</w:t>
            </w:r>
            <w:r>
              <w:rPr>
                <w:rFonts w:hint="eastAsia"/>
                <w:bCs/>
                <w:sz w:val="24"/>
                <w:szCs w:val="24"/>
              </w:rPr>
              <w:t>磋商及响应文件提交</w:t>
            </w:r>
            <w:r>
              <w:rPr>
                <w:bCs/>
                <w:sz w:val="24"/>
                <w:szCs w:val="24"/>
              </w:rPr>
              <w:t>阶段的规定，按</w:t>
            </w:r>
            <w:r>
              <w:rPr>
                <w:rFonts w:hint="eastAsia"/>
                <w:bCs/>
                <w:sz w:val="24"/>
                <w:szCs w:val="24"/>
              </w:rPr>
              <w:t>磋商</w:t>
            </w:r>
            <w:r>
              <w:rPr>
                <w:bCs/>
                <w:sz w:val="24"/>
                <w:szCs w:val="24"/>
              </w:rPr>
              <w:t>公告、</w:t>
            </w:r>
            <w:r>
              <w:rPr>
                <w:rFonts w:hint="eastAsia"/>
                <w:bCs/>
                <w:sz w:val="24"/>
                <w:szCs w:val="24"/>
              </w:rPr>
              <w:t>磋商邀请、</w:t>
            </w:r>
            <w:r>
              <w:rPr>
                <w:rFonts w:hint="eastAsia"/>
                <w:sz w:val="24"/>
              </w:rPr>
              <w:t>供应商</w:t>
            </w:r>
            <w:r>
              <w:rPr>
                <w:bCs/>
                <w:sz w:val="24"/>
                <w:szCs w:val="24"/>
              </w:rPr>
              <w:t>须知、评</w:t>
            </w:r>
            <w:r>
              <w:rPr>
                <w:rFonts w:hint="eastAsia"/>
                <w:bCs/>
                <w:sz w:val="24"/>
                <w:szCs w:val="24"/>
              </w:rPr>
              <w:t>审方</w:t>
            </w:r>
            <w:r>
              <w:rPr>
                <w:bCs/>
                <w:sz w:val="24"/>
                <w:szCs w:val="24"/>
              </w:rPr>
              <w:t>法</w:t>
            </w:r>
            <w:r>
              <w:rPr>
                <w:rFonts w:hint="eastAsia"/>
                <w:bCs/>
                <w:sz w:val="24"/>
                <w:szCs w:val="24"/>
              </w:rPr>
              <w:t>和标准</w:t>
            </w:r>
            <w:r>
              <w:rPr>
                <w:bCs/>
                <w:sz w:val="24"/>
                <w:szCs w:val="24"/>
              </w:rPr>
              <w:t>、</w:t>
            </w:r>
            <w:r>
              <w:rPr>
                <w:rFonts w:hint="eastAsia"/>
                <w:bCs/>
                <w:sz w:val="24"/>
                <w:szCs w:val="24"/>
              </w:rPr>
              <w:t>响应</w:t>
            </w:r>
            <w:r>
              <w:rPr>
                <w:bCs/>
                <w:sz w:val="24"/>
                <w:szCs w:val="24"/>
              </w:rPr>
              <w:t>文件格式的先后顺序解释；</w:t>
            </w:r>
          </w:p>
          <w:p w14:paraId="2E990C01">
            <w:pPr>
              <w:pStyle w:val="39"/>
              <w:widowControl w:val="0"/>
              <w:spacing w:before="0" w:beforeAutospacing="0" w:after="0" w:afterAutospacing="0" w:line="360" w:lineRule="auto"/>
              <w:jc w:val="both"/>
              <w:rPr>
                <w:b w:val="0"/>
                <w:sz w:val="24"/>
              </w:rPr>
            </w:pPr>
            <w:r>
              <w:rPr>
                <w:rFonts w:hint="eastAsia"/>
                <w:b w:val="0"/>
                <w:sz w:val="24"/>
                <w:szCs w:val="24"/>
              </w:rPr>
              <w:t>（5）</w:t>
            </w:r>
            <w:r>
              <w:rPr>
                <w:b w:val="0"/>
                <w:sz w:val="24"/>
                <w:szCs w:val="24"/>
              </w:rPr>
              <w:t>按本款前述规定仍不能形成结论的，由</w:t>
            </w:r>
            <w:r>
              <w:rPr>
                <w:rFonts w:hint="eastAsia"/>
                <w:sz w:val="24"/>
                <w:szCs w:val="18"/>
              </w:rPr>
              <w:t>业主单位</w:t>
            </w:r>
            <w:r>
              <w:rPr>
                <w:b w:val="0"/>
                <w:sz w:val="24"/>
                <w:szCs w:val="24"/>
              </w:rPr>
              <w:t>负责解释。</w:t>
            </w:r>
          </w:p>
        </w:tc>
      </w:tr>
    </w:tbl>
    <w:p w14:paraId="6849F190">
      <w:pPr>
        <w:spacing w:line="360" w:lineRule="auto"/>
        <w:jc w:val="center"/>
        <w:outlineLvl w:val="1"/>
        <w:rPr>
          <w:b/>
          <w:sz w:val="24"/>
          <w:szCs w:val="24"/>
        </w:rPr>
      </w:pPr>
      <w:r>
        <w:rPr>
          <w:b/>
          <w:sz w:val="28"/>
        </w:rPr>
        <w:br w:type="page"/>
      </w:r>
      <w:bookmarkStart w:id="36" w:name="_Toc9679"/>
      <w:bookmarkStart w:id="37" w:name="_Toc30605"/>
      <w:bookmarkStart w:id="38" w:name="_Toc16431"/>
      <w:bookmarkStart w:id="39" w:name="_Toc7877"/>
      <w:r>
        <w:rPr>
          <w:rFonts w:hint="eastAsia"/>
          <w:b/>
          <w:sz w:val="24"/>
          <w:szCs w:val="24"/>
        </w:rPr>
        <w:t>二、供应商</w:t>
      </w:r>
      <w:r>
        <w:rPr>
          <w:b/>
          <w:sz w:val="24"/>
          <w:szCs w:val="24"/>
        </w:rPr>
        <w:t>须知</w:t>
      </w:r>
      <w:r>
        <w:rPr>
          <w:rFonts w:hint="eastAsia"/>
          <w:b/>
          <w:sz w:val="24"/>
          <w:szCs w:val="24"/>
        </w:rPr>
        <w:t>正文</w:t>
      </w:r>
      <w:bookmarkEnd w:id="36"/>
      <w:bookmarkEnd w:id="37"/>
      <w:bookmarkEnd w:id="38"/>
      <w:bookmarkEnd w:id="39"/>
    </w:p>
    <w:p w14:paraId="6F8648A7">
      <w:pPr>
        <w:spacing w:line="360" w:lineRule="auto"/>
        <w:ind w:firstLine="437"/>
        <w:outlineLvl w:val="2"/>
        <w:rPr>
          <w:b/>
          <w:sz w:val="24"/>
        </w:rPr>
      </w:pPr>
      <w:r>
        <w:rPr>
          <w:rFonts w:hint="eastAsia"/>
          <w:b/>
          <w:sz w:val="24"/>
        </w:rPr>
        <w:t>1</w:t>
      </w:r>
      <w:r>
        <w:rPr>
          <w:b/>
          <w:sz w:val="24"/>
        </w:rPr>
        <w:t>.</w:t>
      </w:r>
      <w:r>
        <w:rPr>
          <w:rFonts w:hint="eastAsia"/>
          <w:b/>
          <w:sz w:val="24"/>
        </w:rPr>
        <w:t>适用范围</w:t>
      </w:r>
    </w:p>
    <w:p w14:paraId="45FB5360">
      <w:pPr>
        <w:spacing w:line="360" w:lineRule="auto"/>
        <w:ind w:firstLine="437"/>
        <w:outlineLvl w:val="3"/>
        <w:rPr>
          <w:sz w:val="24"/>
        </w:rPr>
      </w:pPr>
      <w:r>
        <w:rPr>
          <w:rFonts w:hint="eastAsia"/>
          <w:sz w:val="24"/>
        </w:rPr>
        <w:t>本磋商文件仅适用于本次磋商所述的服务项目。</w:t>
      </w:r>
    </w:p>
    <w:p w14:paraId="622B31AC">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w:t>
      </w:r>
      <w:r>
        <w:rPr>
          <w:rFonts w:asciiTheme="minorEastAsia" w:hAnsiTheme="minorEastAsia" w:eastAsiaTheme="minorEastAsia"/>
          <w:b/>
          <w:sz w:val="24"/>
        </w:rPr>
        <w:t>.</w:t>
      </w:r>
      <w:r>
        <w:rPr>
          <w:rFonts w:hint="eastAsia" w:asciiTheme="minorEastAsia" w:hAnsiTheme="minorEastAsia" w:eastAsiaTheme="minorEastAsia"/>
          <w:b/>
          <w:sz w:val="24"/>
        </w:rPr>
        <w:t>资金来源</w:t>
      </w:r>
    </w:p>
    <w:p w14:paraId="566E66FA">
      <w:pPr>
        <w:spacing w:line="360" w:lineRule="auto"/>
        <w:ind w:firstLine="435"/>
        <w:rPr>
          <w:sz w:val="24"/>
          <w:highlight w:val="none"/>
        </w:rPr>
      </w:pPr>
      <w:r>
        <w:rPr>
          <w:rFonts w:hint="eastAsia"/>
          <w:sz w:val="24"/>
          <w:highlight w:val="none"/>
          <w:lang w:val="en-US" w:eastAsia="zh-CN"/>
        </w:rPr>
        <w:t>财政</w:t>
      </w:r>
      <w:r>
        <w:rPr>
          <w:rFonts w:hint="eastAsia"/>
          <w:sz w:val="24"/>
          <w:highlight w:val="none"/>
        </w:rPr>
        <w:t>资金。</w:t>
      </w:r>
    </w:p>
    <w:p w14:paraId="780A137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3</w:t>
      </w:r>
      <w:r>
        <w:rPr>
          <w:rFonts w:asciiTheme="minorEastAsia" w:hAnsiTheme="minorEastAsia" w:eastAsiaTheme="minorEastAsia"/>
          <w:b/>
          <w:sz w:val="24"/>
        </w:rPr>
        <w:t>.</w:t>
      </w:r>
      <w:r>
        <w:rPr>
          <w:rFonts w:hint="eastAsia" w:asciiTheme="minorEastAsia" w:hAnsiTheme="minorEastAsia" w:eastAsiaTheme="minorEastAsia"/>
          <w:b/>
          <w:sz w:val="24"/>
        </w:rPr>
        <w:t>费用</w:t>
      </w:r>
    </w:p>
    <w:p w14:paraId="5871A4F8">
      <w:pPr>
        <w:spacing w:line="360" w:lineRule="auto"/>
        <w:ind w:firstLine="437"/>
        <w:outlineLvl w:val="3"/>
        <w:rPr>
          <w:sz w:val="24"/>
        </w:rPr>
      </w:pPr>
      <w:r>
        <w:rPr>
          <w:rFonts w:hint="eastAsia"/>
          <w:sz w:val="24"/>
        </w:rPr>
        <w:t>不论结果如何，供应商应承担所有与准备和参加本次项目磋商的全部费用。</w:t>
      </w:r>
    </w:p>
    <w:p w14:paraId="5F58BF7C">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4</w:t>
      </w:r>
      <w:r>
        <w:rPr>
          <w:rFonts w:asciiTheme="minorEastAsia" w:hAnsiTheme="minorEastAsia" w:eastAsiaTheme="minorEastAsia"/>
          <w:b/>
          <w:sz w:val="24"/>
        </w:rPr>
        <w:t>.</w:t>
      </w:r>
      <w:r>
        <w:rPr>
          <w:rFonts w:hint="eastAsia" w:asciiTheme="minorEastAsia" w:hAnsiTheme="minorEastAsia" w:eastAsiaTheme="minorEastAsia"/>
          <w:b/>
          <w:sz w:val="24"/>
        </w:rPr>
        <w:t>文件构成</w:t>
      </w:r>
    </w:p>
    <w:p w14:paraId="2194BCDE">
      <w:pPr>
        <w:spacing w:line="360" w:lineRule="auto"/>
        <w:ind w:firstLine="435"/>
        <w:rPr>
          <w:sz w:val="24"/>
        </w:rPr>
      </w:pPr>
      <w:r>
        <w:rPr>
          <w:rFonts w:hint="eastAsia"/>
          <w:sz w:val="24"/>
        </w:rPr>
        <w:t>4.1项目磋商文件包括下列内容：</w:t>
      </w:r>
    </w:p>
    <w:p w14:paraId="419570A0">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w:t>
      </w:r>
      <w:r>
        <w:rPr>
          <w:rFonts w:hint="eastAsia" w:asciiTheme="minorEastAsia" w:hAnsiTheme="minorEastAsia" w:eastAsiaTheme="minorEastAsia"/>
          <w:sz w:val="24"/>
        </w:rPr>
        <w:t>磋商邀请</w:t>
      </w:r>
    </w:p>
    <w:p w14:paraId="672DAD51">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w:t>
      </w:r>
      <w:r>
        <w:rPr>
          <w:rFonts w:hint="eastAsia"/>
          <w:sz w:val="24"/>
        </w:rPr>
        <w:t>供应商</w:t>
      </w:r>
      <w:r>
        <w:rPr>
          <w:rFonts w:asciiTheme="minorEastAsia" w:hAnsiTheme="minorEastAsia" w:eastAsiaTheme="minorEastAsia"/>
          <w:sz w:val="24"/>
        </w:rPr>
        <w:t>须知</w:t>
      </w:r>
    </w:p>
    <w:p w14:paraId="2228B5C2">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w:t>
      </w:r>
      <w:r>
        <w:rPr>
          <w:rFonts w:hint="eastAsia" w:asciiTheme="minorEastAsia" w:hAnsiTheme="minorEastAsia" w:eastAsiaTheme="minorEastAsia"/>
          <w:sz w:val="24"/>
        </w:rPr>
        <w:t>项目</w:t>
      </w:r>
      <w:r>
        <w:rPr>
          <w:rFonts w:asciiTheme="minorEastAsia" w:hAnsiTheme="minorEastAsia" w:eastAsiaTheme="minorEastAsia"/>
          <w:sz w:val="24"/>
        </w:rPr>
        <w:t>需求</w:t>
      </w:r>
    </w:p>
    <w:p w14:paraId="17C7883D">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w:t>
      </w:r>
      <w:r>
        <w:rPr>
          <w:rFonts w:hint="eastAsia" w:asciiTheme="minorEastAsia" w:hAnsiTheme="minorEastAsia" w:eastAsiaTheme="minorEastAsia"/>
          <w:sz w:val="24"/>
        </w:rPr>
        <w:t>评审方法</w:t>
      </w:r>
      <w:r>
        <w:rPr>
          <w:rFonts w:asciiTheme="minorEastAsia" w:hAnsiTheme="minorEastAsia" w:eastAsiaTheme="minorEastAsia"/>
          <w:sz w:val="24"/>
        </w:rPr>
        <w:t>和标准</w:t>
      </w:r>
    </w:p>
    <w:p w14:paraId="499B98D6">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w:t>
      </w:r>
      <w:r>
        <w:rPr>
          <w:rFonts w:hint="eastAsia" w:asciiTheme="minorEastAsia" w:hAnsiTheme="minorEastAsia" w:eastAsiaTheme="minorEastAsia"/>
          <w:sz w:val="24"/>
        </w:rPr>
        <w:t>合同条款及格式</w:t>
      </w:r>
    </w:p>
    <w:p w14:paraId="13ABCAB9">
      <w:pPr>
        <w:spacing w:line="360" w:lineRule="auto"/>
        <w:ind w:firstLine="840" w:firstLineChars="350"/>
        <w:rPr>
          <w:rFonts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w:t>
      </w:r>
      <w:r>
        <w:rPr>
          <w:rFonts w:hint="eastAsia" w:asciiTheme="minorEastAsia" w:hAnsiTheme="minorEastAsia" w:eastAsiaTheme="minorEastAsia"/>
          <w:sz w:val="24"/>
        </w:rPr>
        <w:t>响应文件格式</w:t>
      </w:r>
    </w:p>
    <w:p w14:paraId="18F623D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.2文件中有不一致的，有</w:t>
      </w:r>
      <w:r>
        <w:rPr>
          <w:rFonts w:hint="eastAsia" w:asciiTheme="minorEastAsia" w:hAnsiTheme="minorEastAsia" w:eastAsiaTheme="minorEastAsia"/>
          <w:sz w:val="24"/>
        </w:rPr>
        <w:t>澄清</w:t>
      </w:r>
      <w:r>
        <w:rPr>
          <w:rFonts w:asciiTheme="minorEastAsia" w:hAnsiTheme="minorEastAsia" w:eastAsiaTheme="minorEastAsia"/>
          <w:sz w:val="24"/>
        </w:rPr>
        <w:t>的部分以最终的</w:t>
      </w:r>
      <w:r>
        <w:rPr>
          <w:rFonts w:hint="eastAsia" w:asciiTheme="minorEastAsia" w:hAnsiTheme="minorEastAsia" w:eastAsiaTheme="minorEastAsia"/>
          <w:sz w:val="24"/>
        </w:rPr>
        <w:t>澄清更正</w:t>
      </w:r>
      <w:r>
        <w:rPr>
          <w:rFonts w:asciiTheme="minorEastAsia" w:hAnsiTheme="minorEastAsia" w:eastAsiaTheme="minorEastAsia"/>
          <w:sz w:val="24"/>
        </w:rPr>
        <w:t>内容为准</w:t>
      </w:r>
      <w:r>
        <w:rPr>
          <w:rFonts w:hint="eastAsia" w:asciiTheme="minorEastAsia" w:hAnsiTheme="minorEastAsia" w:eastAsiaTheme="minorEastAsia"/>
          <w:sz w:val="24"/>
        </w:rPr>
        <w:t>。</w:t>
      </w:r>
    </w:p>
    <w:p w14:paraId="1F600DC3">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.3现场</w:t>
      </w:r>
      <w:r>
        <w:rPr>
          <w:rFonts w:hint="eastAsia" w:asciiTheme="minorEastAsia" w:hAnsiTheme="minorEastAsia" w:eastAsiaTheme="minorEastAsia"/>
          <w:sz w:val="24"/>
        </w:rPr>
        <w:t>考察</w:t>
      </w:r>
      <w:r>
        <w:rPr>
          <w:rFonts w:asciiTheme="minorEastAsia" w:hAnsiTheme="minorEastAsia" w:eastAsiaTheme="minorEastAsia"/>
          <w:sz w:val="24"/>
        </w:rPr>
        <w:t>及相关事项见</w:t>
      </w:r>
      <w:r>
        <w:rPr>
          <w:rFonts w:hint="eastAsia"/>
          <w:sz w:val="24"/>
          <w:u w:val="single"/>
        </w:rPr>
        <w:t>供应商</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358F88A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4</w:t>
      </w:r>
      <w:r>
        <w:rPr>
          <w:rFonts w:asciiTheme="minorEastAsia" w:hAnsiTheme="minorEastAsia" w:eastAsiaTheme="minorEastAsia"/>
          <w:sz w:val="24"/>
        </w:rPr>
        <w:t>.4</w:t>
      </w:r>
      <w:r>
        <w:rPr>
          <w:rFonts w:hint="eastAsia"/>
          <w:sz w:val="24"/>
        </w:rPr>
        <w:t>供应商</w:t>
      </w:r>
      <w:r>
        <w:rPr>
          <w:rFonts w:asciiTheme="minorEastAsia" w:hAnsiTheme="minorEastAsia" w:eastAsiaTheme="minorEastAsia"/>
          <w:sz w:val="24"/>
        </w:rPr>
        <w:t>应认真阅读</w:t>
      </w:r>
      <w:r>
        <w:rPr>
          <w:rFonts w:hint="eastAsia" w:asciiTheme="minorEastAsia" w:hAnsiTheme="minorEastAsia" w:eastAsiaTheme="minorEastAsia"/>
          <w:sz w:val="24"/>
        </w:rPr>
        <w:t>项目磋商文件</w:t>
      </w:r>
      <w:r>
        <w:rPr>
          <w:rFonts w:asciiTheme="minorEastAsia" w:hAnsiTheme="minorEastAsia" w:eastAsiaTheme="minorEastAsia"/>
          <w:sz w:val="24"/>
        </w:rPr>
        <w:t>所有的事项、格式、条款和技术规范等。</w:t>
      </w:r>
    </w:p>
    <w:p w14:paraId="2061314F">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5</w:t>
      </w:r>
      <w:r>
        <w:rPr>
          <w:rFonts w:asciiTheme="minorEastAsia" w:hAnsiTheme="minorEastAsia" w:eastAsiaTheme="minorEastAsia"/>
          <w:b/>
          <w:sz w:val="24"/>
        </w:rPr>
        <w:t>.</w:t>
      </w:r>
      <w:r>
        <w:rPr>
          <w:rFonts w:hint="eastAsia" w:asciiTheme="minorEastAsia" w:hAnsiTheme="minorEastAsia" w:eastAsiaTheme="minorEastAsia"/>
          <w:b/>
          <w:sz w:val="24"/>
        </w:rPr>
        <w:t>项目磋商文件的澄清与修改</w:t>
      </w:r>
    </w:p>
    <w:p w14:paraId="13546F2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1</w:t>
      </w:r>
      <w:r>
        <w:rPr>
          <w:rFonts w:hint="eastAsia"/>
          <w:sz w:val="24"/>
        </w:rPr>
        <w:t>供应商</w:t>
      </w:r>
      <w:r>
        <w:rPr>
          <w:rFonts w:hint="eastAsia" w:asciiTheme="minorEastAsia" w:hAnsiTheme="minorEastAsia" w:eastAsiaTheme="minorEastAsia"/>
          <w:sz w:val="24"/>
        </w:rPr>
        <w:t>如对磋商文件内容有疑问，必须在</w:t>
      </w:r>
      <w:r>
        <w:rPr>
          <w:rFonts w:hint="eastAsia"/>
          <w:sz w:val="24"/>
        </w:rPr>
        <w:t>供应商</w:t>
      </w:r>
      <w:r>
        <w:rPr>
          <w:rFonts w:hint="eastAsia" w:asciiTheme="minorEastAsia" w:hAnsiTheme="minorEastAsia" w:eastAsiaTheme="minorEastAsia"/>
          <w:sz w:val="24"/>
        </w:rPr>
        <w:t>须知前附表规定的网上询问截止时间前以网上提问形式提交给代理机构</w:t>
      </w:r>
      <w:r>
        <w:rPr>
          <w:rFonts w:asciiTheme="minorEastAsia" w:hAnsiTheme="minorEastAsia" w:eastAsiaTheme="minorEastAsia"/>
          <w:sz w:val="24"/>
        </w:rPr>
        <w:t>。</w:t>
      </w:r>
    </w:p>
    <w:p w14:paraId="274125E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2业主单位可主动或在解答</w:t>
      </w:r>
      <w:r>
        <w:rPr>
          <w:rFonts w:hint="eastAsia"/>
          <w:sz w:val="24"/>
        </w:rPr>
        <w:t>供应商</w:t>
      </w:r>
      <w:r>
        <w:rPr>
          <w:rFonts w:hint="eastAsia" w:asciiTheme="minorEastAsia" w:hAnsiTheme="minorEastAsia" w:eastAsiaTheme="minorEastAsia"/>
          <w:sz w:val="24"/>
        </w:rPr>
        <w:t>提出的问题时对磋商文件进行澄清或者修改。代理机构将在优质采云采购平台发布更正公告的方式澄清或者修改磋商文件，更正公告的内容作为磋商文件的组成部分，对</w:t>
      </w:r>
      <w:r>
        <w:rPr>
          <w:rFonts w:hint="eastAsia"/>
          <w:sz w:val="24"/>
        </w:rPr>
        <w:t>供应商</w:t>
      </w:r>
      <w:r>
        <w:rPr>
          <w:rFonts w:hint="eastAsia" w:asciiTheme="minorEastAsia" w:hAnsiTheme="minorEastAsia" w:eastAsiaTheme="minorEastAsia"/>
          <w:sz w:val="24"/>
        </w:rPr>
        <w:t>起约束作用。</w:t>
      </w:r>
      <w:r>
        <w:rPr>
          <w:rFonts w:hint="eastAsia"/>
          <w:sz w:val="24"/>
        </w:rPr>
        <w:t>供应商</w:t>
      </w:r>
      <w:r>
        <w:rPr>
          <w:rFonts w:hint="eastAsia" w:asciiTheme="minorEastAsia" w:hAnsiTheme="minorEastAsia" w:eastAsiaTheme="minorEastAsia"/>
          <w:sz w:val="24"/>
        </w:rPr>
        <w:t>应主动上网查询。代理机构不承担</w:t>
      </w:r>
      <w:r>
        <w:rPr>
          <w:rFonts w:hint="eastAsia"/>
          <w:sz w:val="24"/>
        </w:rPr>
        <w:t>供应商</w:t>
      </w:r>
      <w:r>
        <w:rPr>
          <w:rFonts w:hint="eastAsia" w:asciiTheme="minorEastAsia" w:hAnsiTheme="minorEastAsia" w:eastAsiaTheme="minorEastAsia"/>
          <w:sz w:val="24"/>
        </w:rPr>
        <w:t>未及时关注相关信息引发的相关责任。</w:t>
      </w:r>
    </w:p>
    <w:p w14:paraId="2DFE8E0E">
      <w:pPr>
        <w:spacing w:line="360" w:lineRule="auto"/>
        <w:ind w:firstLine="435"/>
        <w:rPr>
          <w:sz w:val="24"/>
        </w:rPr>
      </w:pPr>
      <w:r>
        <w:rPr>
          <w:rFonts w:hint="eastAsia"/>
          <w:sz w:val="24"/>
        </w:rPr>
        <w:t>5.3任何人或任何组织向供应商提供的任何书面或口头资料，未经代理机构在网上发布或书面通知，均作无效处理，不得作为磋商文件的组成部分。代理机构对供应商由此而做出的推论、理解和结论概不负责。</w:t>
      </w:r>
    </w:p>
    <w:p w14:paraId="6C28E200">
      <w:pPr>
        <w:spacing w:line="360" w:lineRule="auto"/>
        <w:ind w:firstLine="435"/>
        <w:rPr>
          <w:rFonts w:asciiTheme="minorEastAsia" w:hAnsiTheme="minorEastAsia" w:eastAsiaTheme="minorEastAsia"/>
          <w:i/>
          <w:iCs/>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4对于没有提出询问又参与了本项目磋商的</w:t>
      </w:r>
      <w:r>
        <w:rPr>
          <w:rFonts w:hint="eastAsia"/>
          <w:sz w:val="24"/>
        </w:rPr>
        <w:t>供应商</w:t>
      </w:r>
      <w:r>
        <w:rPr>
          <w:rFonts w:hint="eastAsia" w:asciiTheme="minorEastAsia" w:hAnsiTheme="minorEastAsia" w:eastAsiaTheme="minorEastAsia"/>
          <w:sz w:val="24"/>
        </w:rPr>
        <w:t>将被视为完全认同本磋商文件（含更正公告的内容）</w:t>
      </w:r>
      <w:r>
        <w:rPr>
          <w:rFonts w:hint="eastAsia" w:asciiTheme="minorEastAsia" w:hAnsiTheme="minorEastAsia" w:eastAsiaTheme="minorEastAsia"/>
          <w:i/>
          <w:sz w:val="24"/>
        </w:rPr>
        <w:t>。</w:t>
      </w:r>
    </w:p>
    <w:p w14:paraId="01AA022E">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w:t>
      </w:r>
      <w:r>
        <w:rPr>
          <w:rFonts w:hint="eastAsia" w:asciiTheme="minorEastAsia" w:hAnsiTheme="minorEastAsia" w:eastAsiaTheme="minorEastAsia"/>
          <w:b/>
          <w:sz w:val="24"/>
        </w:rPr>
        <w:t>项目响应文件构成</w:t>
      </w:r>
    </w:p>
    <w:p w14:paraId="79342B9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应完整地按</w:t>
      </w:r>
      <w:r>
        <w:rPr>
          <w:rFonts w:hint="eastAsia" w:asciiTheme="minorEastAsia" w:hAnsiTheme="minorEastAsia" w:eastAsiaTheme="minorEastAsia"/>
          <w:sz w:val="24"/>
        </w:rPr>
        <w:t>项目磋商文件</w:t>
      </w:r>
      <w:r>
        <w:rPr>
          <w:rFonts w:asciiTheme="minorEastAsia" w:hAnsiTheme="minorEastAsia" w:eastAsiaTheme="minorEastAsia"/>
          <w:sz w:val="24"/>
        </w:rPr>
        <w:t>提供的文件格式及要求</w:t>
      </w:r>
      <w:r>
        <w:rPr>
          <w:rFonts w:hint="eastAsia" w:asciiTheme="minorEastAsia" w:hAnsiTheme="minorEastAsia" w:eastAsiaTheme="minorEastAsia"/>
          <w:sz w:val="24"/>
        </w:rPr>
        <w:t>编</w:t>
      </w:r>
      <w:r>
        <w:rPr>
          <w:rFonts w:asciiTheme="minorEastAsia" w:hAnsiTheme="minorEastAsia" w:eastAsiaTheme="minorEastAsia"/>
          <w:sz w:val="24"/>
        </w:rPr>
        <w:t>写</w:t>
      </w:r>
      <w:r>
        <w:rPr>
          <w:rFonts w:hint="eastAsia" w:asciiTheme="minorEastAsia" w:hAnsiTheme="minorEastAsia" w:eastAsiaTheme="minorEastAsia"/>
          <w:sz w:val="24"/>
        </w:rPr>
        <w:t>响应</w:t>
      </w:r>
      <w:r>
        <w:rPr>
          <w:rFonts w:asciiTheme="minorEastAsia" w:hAnsiTheme="minorEastAsia" w:eastAsiaTheme="minorEastAsia"/>
          <w:sz w:val="24"/>
        </w:rPr>
        <w:t>文件，</w:t>
      </w:r>
      <w:r>
        <w:rPr>
          <w:rFonts w:hint="eastAsia" w:asciiTheme="minorEastAsia" w:hAnsiTheme="minorEastAsia" w:eastAsiaTheme="minorEastAsia"/>
          <w:sz w:val="24"/>
        </w:rPr>
        <w:t>具体内容详见本项目第六章响应文件格式的相关内容。</w:t>
      </w:r>
    </w:p>
    <w:p w14:paraId="02682CE5">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.2上述</w:t>
      </w:r>
      <w:r>
        <w:rPr>
          <w:sz w:val="24"/>
        </w:rPr>
        <w:t>文件</w:t>
      </w:r>
      <w:r>
        <w:rPr>
          <w:rFonts w:asciiTheme="minorEastAsia" w:hAnsiTheme="minorEastAsia" w:eastAsiaTheme="minorEastAsia"/>
          <w:sz w:val="24"/>
        </w:rPr>
        <w:t>应按照</w:t>
      </w:r>
      <w:r>
        <w:rPr>
          <w:rFonts w:hint="eastAsia" w:asciiTheme="minorEastAsia" w:hAnsiTheme="minorEastAsia" w:eastAsiaTheme="minorEastAsia"/>
          <w:sz w:val="24"/>
        </w:rPr>
        <w:t>项目磋商文件</w:t>
      </w:r>
      <w:r>
        <w:rPr>
          <w:rFonts w:asciiTheme="minorEastAsia" w:hAnsiTheme="minorEastAsia" w:eastAsiaTheme="minorEastAsia"/>
          <w:sz w:val="24"/>
        </w:rPr>
        <w:t>规定的格式填写、签署和盖章。</w:t>
      </w:r>
    </w:p>
    <w:p w14:paraId="728431A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7</w:t>
      </w:r>
      <w:r>
        <w:rPr>
          <w:rFonts w:asciiTheme="minorEastAsia" w:hAnsiTheme="minorEastAsia" w:eastAsiaTheme="minorEastAsia"/>
          <w:b/>
          <w:sz w:val="24"/>
        </w:rPr>
        <w:t>.</w:t>
      </w:r>
      <w:r>
        <w:rPr>
          <w:rFonts w:hint="eastAsia" w:asciiTheme="minorEastAsia" w:hAnsiTheme="minorEastAsia" w:eastAsiaTheme="minorEastAsia"/>
          <w:b/>
          <w:sz w:val="24"/>
        </w:rPr>
        <w:t>证明服务符合项目磋商文件规定的技术文件</w:t>
      </w:r>
    </w:p>
    <w:p w14:paraId="3F82116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应提交</w:t>
      </w:r>
      <w:r>
        <w:rPr>
          <w:rFonts w:hint="eastAsia" w:asciiTheme="minorEastAsia" w:hAnsiTheme="minorEastAsia" w:eastAsiaTheme="minorEastAsia"/>
          <w:sz w:val="24"/>
        </w:rPr>
        <w:t>项目磋商文件要求的</w:t>
      </w:r>
      <w:r>
        <w:rPr>
          <w:rFonts w:asciiTheme="minorEastAsia" w:hAnsiTheme="minorEastAsia" w:eastAsiaTheme="minorEastAsia"/>
          <w:sz w:val="24"/>
        </w:rPr>
        <w:t>证明文件，证明其内容符合</w:t>
      </w:r>
      <w:r>
        <w:rPr>
          <w:rFonts w:hint="eastAsia" w:asciiTheme="minorEastAsia" w:hAnsiTheme="minorEastAsia" w:eastAsiaTheme="minorEastAsia"/>
          <w:sz w:val="24"/>
        </w:rPr>
        <w:t>项目磋商文件</w:t>
      </w:r>
      <w:r>
        <w:rPr>
          <w:rFonts w:asciiTheme="minorEastAsia" w:hAnsiTheme="minorEastAsia" w:eastAsiaTheme="minorEastAsia"/>
          <w:sz w:val="24"/>
        </w:rPr>
        <w:t>规定。该证明文件是</w:t>
      </w:r>
      <w:r>
        <w:rPr>
          <w:rFonts w:hint="eastAsia" w:asciiTheme="minorEastAsia" w:hAnsiTheme="minorEastAsia" w:eastAsiaTheme="minorEastAsia"/>
          <w:sz w:val="24"/>
        </w:rPr>
        <w:t>响应文件</w:t>
      </w:r>
      <w:r>
        <w:rPr>
          <w:rFonts w:asciiTheme="minorEastAsia" w:hAnsiTheme="minorEastAsia" w:eastAsiaTheme="minorEastAsia"/>
          <w:sz w:val="24"/>
        </w:rPr>
        <w:t>的一部分。</w:t>
      </w:r>
    </w:p>
    <w:p w14:paraId="0A9194F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.2上款所述的证明文件，可以是文字资料、图纸和数据</w:t>
      </w:r>
      <w:bookmarkStart w:id="40" w:name="_Hlk11703583"/>
      <w:r>
        <w:rPr>
          <w:rFonts w:hint="eastAsia" w:asciiTheme="minorEastAsia" w:hAnsiTheme="minorEastAsia" w:eastAsiaTheme="minorEastAsia"/>
          <w:sz w:val="24"/>
        </w:rPr>
        <w:t>。</w:t>
      </w:r>
    </w:p>
    <w:bookmarkEnd w:id="40"/>
    <w:p w14:paraId="1B6B394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3本条所指证明文件不包括对项目磋商文件相关部分的文字、图标的复制。</w:t>
      </w:r>
    </w:p>
    <w:p w14:paraId="1312E3D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为保证</w:t>
      </w:r>
      <w:r>
        <w:rPr>
          <w:sz w:val="24"/>
        </w:rPr>
        <w:t>公平</w:t>
      </w:r>
      <w:r>
        <w:rPr>
          <w:rFonts w:asciiTheme="minorEastAsia" w:hAnsiTheme="minorEastAsia" w:eastAsiaTheme="minorEastAsia"/>
          <w:sz w:val="24"/>
        </w:rPr>
        <w:t>公正，除非另有规定或说明，</w:t>
      </w:r>
      <w:r>
        <w:rPr>
          <w:rFonts w:hint="eastAsia"/>
          <w:sz w:val="24"/>
        </w:rPr>
        <w:t>供应商</w:t>
      </w:r>
      <w:r>
        <w:rPr>
          <w:rFonts w:asciiTheme="minorEastAsia" w:hAnsiTheme="minorEastAsia" w:eastAsiaTheme="minorEastAsia"/>
          <w:sz w:val="24"/>
        </w:rPr>
        <w:t>对同一项目</w:t>
      </w:r>
      <w:r>
        <w:rPr>
          <w:rFonts w:hint="eastAsia" w:asciiTheme="minorEastAsia" w:hAnsiTheme="minorEastAsia" w:eastAsiaTheme="minorEastAsia"/>
          <w:sz w:val="24"/>
        </w:rPr>
        <w:t>磋商</w:t>
      </w:r>
      <w:r>
        <w:rPr>
          <w:rFonts w:asciiTheme="minorEastAsia" w:hAnsiTheme="minorEastAsia" w:eastAsiaTheme="minorEastAsia"/>
          <w:sz w:val="24"/>
        </w:rPr>
        <w:t>时，不得同时提供</w:t>
      </w:r>
      <w:r>
        <w:rPr>
          <w:rFonts w:hint="eastAsia" w:asciiTheme="minorEastAsia" w:hAnsiTheme="minorEastAsia" w:eastAsiaTheme="minorEastAsia"/>
          <w:sz w:val="24"/>
        </w:rPr>
        <w:t>备选</w:t>
      </w:r>
      <w:r>
        <w:rPr>
          <w:rFonts w:asciiTheme="minorEastAsia" w:hAnsiTheme="minorEastAsia" w:eastAsiaTheme="minorEastAsia"/>
          <w:sz w:val="24"/>
        </w:rPr>
        <w:t>方案。</w:t>
      </w:r>
    </w:p>
    <w:p w14:paraId="48E65B9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报价</w:t>
      </w:r>
    </w:p>
    <w:p w14:paraId="69FD0BF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hint="eastAsia"/>
          <w:sz w:val="24"/>
        </w:rPr>
        <w:t>供应商</w:t>
      </w:r>
      <w:r>
        <w:rPr>
          <w:rFonts w:asciiTheme="minorEastAsia" w:hAnsiTheme="minorEastAsia" w:eastAsiaTheme="minorEastAsia"/>
          <w:sz w:val="24"/>
        </w:rPr>
        <w:t>的报价应当包括满足本次</w:t>
      </w:r>
      <w:r>
        <w:rPr>
          <w:rFonts w:hint="eastAsia" w:asciiTheme="minorEastAsia" w:hAnsiTheme="minorEastAsia" w:eastAsiaTheme="minorEastAsia"/>
          <w:sz w:val="24"/>
        </w:rPr>
        <w:t>项目</w:t>
      </w:r>
      <w:r>
        <w:rPr>
          <w:rFonts w:asciiTheme="minorEastAsia" w:hAnsiTheme="minorEastAsia" w:eastAsiaTheme="minorEastAsia"/>
          <w:sz w:val="24"/>
        </w:rPr>
        <w:t>需求所应提供的</w:t>
      </w:r>
      <w:r>
        <w:rPr>
          <w:rFonts w:hint="eastAsia" w:asciiTheme="minorEastAsia" w:hAnsiTheme="minorEastAsia" w:eastAsiaTheme="minorEastAsia"/>
          <w:sz w:val="24"/>
        </w:rPr>
        <w:t>服务。所有均应以人民币报价。</w:t>
      </w:r>
      <w:r>
        <w:rPr>
          <w:rFonts w:hint="eastAsia"/>
          <w:sz w:val="24"/>
        </w:rPr>
        <w:t>供应商</w:t>
      </w:r>
      <w:r>
        <w:rPr>
          <w:rFonts w:hint="eastAsia" w:asciiTheme="minorEastAsia" w:hAnsiTheme="minorEastAsia" w:eastAsiaTheme="minorEastAsia"/>
          <w:sz w:val="24"/>
        </w:rPr>
        <w:t>的报价应遵守相关法律。</w:t>
      </w:r>
    </w:p>
    <w:p w14:paraId="16DD932B">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.2</w:t>
      </w:r>
      <w:r>
        <w:rPr>
          <w:rFonts w:hint="eastAsia"/>
          <w:sz w:val="24"/>
        </w:rPr>
        <w:t>供应商</w:t>
      </w:r>
      <w:r>
        <w:rPr>
          <w:rFonts w:asciiTheme="minorEastAsia" w:hAnsiTheme="minorEastAsia" w:eastAsiaTheme="minorEastAsia"/>
          <w:sz w:val="24"/>
        </w:rPr>
        <w:t>报价超过</w:t>
      </w:r>
      <w:r>
        <w:rPr>
          <w:rFonts w:hint="eastAsia" w:asciiTheme="minorEastAsia" w:hAnsiTheme="minorEastAsia" w:eastAsiaTheme="minorEastAsia"/>
          <w:sz w:val="24"/>
        </w:rPr>
        <w:t>项目磋商文件</w:t>
      </w:r>
      <w:r>
        <w:rPr>
          <w:rFonts w:asciiTheme="minorEastAsia" w:hAnsiTheme="minorEastAsia" w:eastAsiaTheme="minorEastAsia"/>
          <w:sz w:val="24"/>
        </w:rPr>
        <w:t>规定的预算金额或者分项、分包最高限价，其将被认定为</w:t>
      </w:r>
      <w:r>
        <w:rPr>
          <w:rFonts w:asciiTheme="minorEastAsia" w:hAnsiTheme="minorEastAsia" w:eastAsiaTheme="minorEastAsia"/>
          <w:b/>
          <w:bCs/>
          <w:sz w:val="24"/>
        </w:rPr>
        <w:t>无效</w:t>
      </w:r>
      <w:r>
        <w:rPr>
          <w:rFonts w:asciiTheme="minorEastAsia" w:hAnsiTheme="minorEastAsia" w:eastAsiaTheme="minorEastAsia"/>
          <w:sz w:val="24"/>
        </w:rPr>
        <w:t>。</w:t>
      </w:r>
    </w:p>
    <w:p w14:paraId="4981E6E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.3</w:t>
      </w:r>
      <w:r>
        <w:rPr>
          <w:rFonts w:hint="eastAsia"/>
          <w:sz w:val="24"/>
        </w:rPr>
        <w:t>供应商</w:t>
      </w:r>
      <w:r>
        <w:rPr>
          <w:rFonts w:asciiTheme="minorEastAsia" w:hAnsiTheme="minorEastAsia" w:eastAsiaTheme="minorEastAsia"/>
          <w:sz w:val="24"/>
        </w:rPr>
        <w:t>应在分项报价表上标明服务的单价（如适用）和总价。</w:t>
      </w:r>
      <w:r>
        <w:rPr>
          <w:rFonts w:hint="eastAsia" w:asciiTheme="minorEastAsia" w:hAnsiTheme="minorEastAsia" w:eastAsiaTheme="minorEastAsia"/>
          <w:sz w:val="24"/>
        </w:rPr>
        <w:t>未标明的视同包含在报价中。</w:t>
      </w:r>
    </w:p>
    <w:p w14:paraId="1368EDC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.4</w:t>
      </w:r>
      <w:r>
        <w:rPr>
          <w:rFonts w:hint="eastAsia" w:asciiTheme="minorEastAsia" w:hAnsiTheme="minorEastAsia" w:eastAsiaTheme="minorEastAsia"/>
          <w:sz w:val="24"/>
        </w:rPr>
        <w:t>报价</w:t>
      </w:r>
      <w:r>
        <w:rPr>
          <w:rFonts w:asciiTheme="minorEastAsia" w:hAnsiTheme="minorEastAsia" w:eastAsiaTheme="minorEastAsia"/>
          <w:sz w:val="24"/>
        </w:rPr>
        <w:t>在合同履行过程中是固定不变的，不得以任何理由予以变更。任何包含价格调整要求的，其将被认定为</w:t>
      </w:r>
      <w:r>
        <w:rPr>
          <w:rFonts w:asciiTheme="minorEastAsia" w:hAnsiTheme="minorEastAsia" w:eastAsiaTheme="minorEastAsia"/>
          <w:b/>
          <w:sz w:val="24"/>
        </w:rPr>
        <w:t>无效</w:t>
      </w:r>
      <w:r>
        <w:rPr>
          <w:rFonts w:asciiTheme="minorEastAsia" w:hAnsiTheme="minorEastAsia" w:eastAsiaTheme="minorEastAsia"/>
          <w:sz w:val="24"/>
        </w:rPr>
        <w:t>。</w:t>
      </w:r>
    </w:p>
    <w:p w14:paraId="7642DFE1">
      <w:pPr>
        <w:spacing w:line="360" w:lineRule="auto"/>
        <w:ind w:firstLine="435"/>
        <w:rPr>
          <w:sz w:val="24"/>
        </w:rPr>
      </w:pPr>
      <w:r>
        <w:rPr>
          <w:rFonts w:hint="eastAsia" w:asciiTheme="minorEastAsia" w:hAnsiTheme="minorEastAsia" w:eastAsiaTheme="minorEastAsia"/>
          <w:sz w:val="24"/>
        </w:rPr>
        <w:t>8</w:t>
      </w:r>
      <w:r>
        <w:rPr>
          <w:rFonts w:asciiTheme="minorEastAsia" w:hAnsiTheme="minorEastAsia" w:eastAsiaTheme="minorEastAsia"/>
          <w:sz w:val="24"/>
        </w:rPr>
        <w:t>.5</w:t>
      </w:r>
      <w:r>
        <w:rPr>
          <w:rFonts w:hint="eastAsia" w:asciiTheme="minorEastAsia" w:hAnsiTheme="minorEastAsia" w:eastAsiaTheme="minorEastAsia"/>
          <w:sz w:val="24"/>
        </w:rPr>
        <w:t>评审委员会认为</w:t>
      </w:r>
      <w:r>
        <w:rPr>
          <w:rFonts w:hint="eastAsia"/>
          <w:sz w:val="24"/>
        </w:rPr>
        <w:t>供应商</w:t>
      </w:r>
      <w:r>
        <w:rPr>
          <w:rFonts w:hint="eastAsia" w:asciiTheme="minorEastAsia" w:hAnsiTheme="minorEastAsia" w:eastAsiaTheme="minorEastAsia"/>
          <w:sz w:val="24"/>
        </w:rPr>
        <w:t>的报价明显低于其他通过资格审查</w:t>
      </w:r>
      <w:r>
        <w:rPr>
          <w:rFonts w:hint="eastAsia"/>
          <w:sz w:val="24"/>
        </w:rPr>
        <w:t>供应商</w:t>
      </w:r>
      <w:r>
        <w:rPr>
          <w:rFonts w:hint="eastAsia" w:asciiTheme="minorEastAsia" w:hAnsiTheme="minorEastAsia" w:eastAsiaTheme="minorEastAsia"/>
          <w:sz w:val="24"/>
        </w:rPr>
        <w:t>的报价，有可能影响服务质量或者不能诚信履约的，应当要求其在合理的时间内提供书面说明，</w:t>
      </w:r>
      <w:r>
        <w:rPr>
          <w:rFonts w:asciiTheme="minorEastAsia" w:hAnsiTheme="minorEastAsia" w:eastAsiaTheme="minorEastAsia"/>
          <w:sz w:val="24"/>
        </w:rPr>
        <w:t>必要时提交相关证明材料；</w:t>
      </w:r>
      <w:r>
        <w:rPr>
          <w:rFonts w:hint="eastAsia"/>
          <w:sz w:val="24"/>
        </w:rPr>
        <w:t>供应商</w:t>
      </w:r>
      <w:r>
        <w:rPr>
          <w:rFonts w:asciiTheme="minorEastAsia" w:hAnsiTheme="minorEastAsia" w:eastAsiaTheme="minorEastAsia"/>
          <w:sz w:val="24"/>
        </w:rPr>
        <w:t>不能证明其报价合理性的，其将被认定为</w:t>
      </w:r>
      <w:r>
        <w:rPr>
          <w:rFonts w:asciiTheme="minorEastAsia" w:hAnsiTheme="minorEastAsia" w:eastAsiaTheme="minorEastAsia"/>
          <w:b/>
          <w:sz w:val="24"/>
        </w:rPr>
        <w:t>无效</w:t>
      </w:r>
      <w:r>
        <w:rPr>
          <w:rFonts w:hint="eastAsia" w:asciiTheme="minorEastAsia" w:hAnsiTheme="minorEastAsia" w:eastAsiaTheme="minorEastAsia"/>
          <w:sz w:val="24"/>
        </w:rPr>
        <w:t>。</w:t>
      </w:r>
    </w:p>
    <w:p w14:paraId="495786BF">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.6</w:t>
      </w:r>
      <w:r>
        <w:rPr>
          <w:rFonts w:hint="eastAsia" w:asciiTheme="minorEastAsia" w:hAnsiTheme="minorEastAsia" w:eastAsiaTheme="minorEastAsia"/>
          <w:sz w:val="24"/>
        </w:rPr>
        <w:t>项目单位</w:t>
      </w:r>
      <w:r>
        <w:rPr>
          <w:rFonts w:asciiTheme="minorEastAsia" w:hAnsiTheme="minorEastAsia" w:eastAsiaTheme="minorEastAsia"/>
          <w:sz w:val="24"/>
        </w:rPr>
        <w:t>不接受具有附加条件的报价。</w:t>
      </w:r>
    </w:p>
    <w:p w14:paraId="4A802654">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9.磋商保证金</w:t>
      </w:r>
    </w:p>
    <w:p w14:paraId="31ED2465">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9.1</w:t>
      </w:r>
      <w:r>
        <w:rPr>
          <w:rFonts w:hint="eastAsia"/>
          <w:sz w:val="24"/>
        </w:rPr>
        <w:t>供应商</w:t>
      </w:r>
      <w:r>
        <w:rPr>
          <w:rFonts w:hint="eastAsia" w:asciiTheme="minorEastAsia" w:hAnsiTheme="minorEastAsia" w:eastAsiaTheme="minorEastAsia"/>
          <w:bCs/>
          <w:sz w:val="24"/>
        </w:rPr>
        <w:t>应提交</w:t>
      </w:r>
      <w:r>
        <w:rPr>
          <w:rFonts w:hint="eastAsia"/>
          <w:sz w:val="24"/>
        </w:rPr>
        <w:t>供应商</w:t>
      </w:r>
      <w:r>
        <w:rPr>
          <w:rFonts w:hint="eastAsia" w:asciiTheme="minorEastAsia" w:hAnsiTheme="minorEastAsia" w:eastAsiaTheme="minorEastAsia"/>
          <w:bCs/>
          <w:sz w:val="24"/>
        </w:rPr>
        <w:t>须知前附表中规定的磋商保证金，并作为其响应文件的一部分。</w:t>
      </w:r>
      <w:r>
        <w:rPr>
          <w:rFonts w:hint="eastAsia"/>
          <w:sz w:val="24"/>
        </w:rPr>
        <w:t>供应商</w:t>
      </w:r>
      <w:r>
        <w:rPr>
          <w:rFonts w:hint="eastAsia" w:asciiTheme="minorEastAsia" w:hAnsiTheme="minorEastAsia" w:eastAsiaTheme="minorEastAsia"/>
          <w:bCs/>
          <w:sz w:val="24"/>
        </w:rPr>
        <w:t>未按规定提交磋商保证金的，其响应文件将被认定为响应无效。</w:t>
      </w:r>
    </w:p>
    <w:p w14:paraId="2A523850">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9.2</w:t>
      </w:r>
      <w:r>
        <w:rPr>
          <w:rFonts w:hint="eastAsia"/>
          <w:sz w:val="24"/>
        </w:rPr>
        <w:t>供应商</w:t>
      </w:r>
      <w:r>
        <w:rPr>
          <w:rFonts w:hint="eastAsia" w:asciiTheme="minorEastAsia" w:hAnsiTheme="minorEastAsia" w:eastAsiaTheme="minorEastAsia"/>
          <w:bCs/>
          <w:sz w:val="24"/>
        </w:rPr>
        <w:t>请注意：</w:t>
      </w:r>
    </w:p>
    <w:p w14:paraId="3DEE9380">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（1）前次磋商失败的，代理机构将退还</w:t>
      </w:r>
      <w:r>
        <w:rPr>
          <w:rFonts w:hint="eastAsia"/>
          <w:sz w:val="24"/>
        </w:rPr>
        <w:t>供应商</w:t>
      </w:r>
      <w:r>
        <w:rPr>
          <w:rFonts w:hint="eastAsia" w:asciiTheme="minorEastAsia" w:hAnsiTheme="minorEastAsia" w:eastAsiaTheme="minorEastAsia"/>
          <w:bCs/>
          <w:sz w:val="24"/>
        </w:rPr>
        <w:t>的磋商保证金（不含</w:t>
      </w:r>
      <w:r>
        <w:rPr>
          <w:rFonts w:hint="eastAsia" w:asciiTheme="minorEastAsia" w:hAnsiTheme="minorEastAsia" w:eastAsiaTheme="minorEastAsia"/>
          <w:bCs/>
          <w:sz w:val="24"/>
          <w:lang w:eastAsia="zh-CN"/>
        </w:rPr>
        <w:t>电子交易服务费</w:t>
      </w:r>
      <w:r>
        <w:rPr>
          <w:rFonts w:hint="eastAsia" w:asciiTheme="minorEastAsia" w:hAnsiTheme="minorEastAsia" w:eastAsiaTheme="minorEastAsia"/>
          <w:bCs/>
          <w:sz w:val="24"/>
        </w:rPr>
        <w:t>）。</w:t>
      </w:r>
    </w:p>
    <w:p w14:paraId="3C87686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（2）代理机构磋商保证金缴纳账号采用动态虚拟账号（分包项目每一个包别对应一个账号），项目磋商失败后，磋商保证金缴纳账号将会发生变化，请</w:t>
      </w:r>
      <w:r>
        <w:rPr>
          <w:rFonts w:hint="eastAsia"/>
          <w:sz w:val="24"/>
        </w:rPr>
        <w:t>供应商</w:t>
      </w:r>
      <w:r>
        <w:rPr>
          <w:rFonts w:hint="eastAsia" w:asciiTheme="minorEastAsia" w:hAnsiTheme="minorEastAsia" w:eastAsiaTheme="minorEastAsia"/>
          <w:bCs/>
          <w:sz w:val="24"/>
        </w:rPr>
        <w:t>参与后续磋商时，注意勿将磋商保证金错交至其他项目虚拟账号或前次公告账号。</w:t>
      </w:r>
    </w:p>
    <w:p w14:paraId="2386B6D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（3）凡转账到其他项目虚拟账号或本项目前次公告账号的，其响应文件将被认定为响应无效。</w:t>
      </w:r>
    </w:p>
    <w:p w14:paraId="0463192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9.3磋商保证金缴纳人名称与</w:t>
      </w:r>
      <w:r>
        <w:rPr>
          <w:rFonts w:hint="eastAsia"/>
          <w:sz w:val="24"/>
        </w:rPr>
        <w:t>供应商</w:t>
      </w:r>
      <w:r>
        <w:rPr>
          <w:rFonts w:hint="eastAsia" w:asciiTheme="minorEastAsia" w:hAnsiTheme="minorEastAsia" w:eastAsiaTheme="minorEastAsia"/>
          <w:bCs/>
          <w:sz w:val="24"/>
        </w:rPr>
        <w:t>名称应当一致。除非磋商文件另有规定，分公司或子公司代缴磋商保证金，视同名称不一致。磋商保证金缴纳人名称与</w:t>
      </w:r>
      <w:r>
        <w:rPr>
          <w:rFonts w:hint="eastAsia"/>
          <w:sz w:val="24"/>
        </w:rPr>
        <w:t>供应商</w:t>
      </w:r>
      <w:r>
        <w:rPr>
          <w:rFonts w:hint="eastAsia" w:asciiTheme="minorEastAsia" w:hAnsiTheme="minorEastAsia" w:eastAsiaTheme="minorEastAsia"/>
          <w:bCs/>
          <w:sz w:val="24"/>
        </w:rPr>
        <w:t>名称不一致的，其响应文件将被认定为响应无效。</w:t>
      </w:r>
    </w:p>
    <w:p w14:paraId="5C1F299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9.4联合体参加磋商的，可以由联合体中的一方或者共同提交磋商保证金。以一方名义提交磋商保证金的，对联合体各方均具有约束力。</w:t>
      </w:r>
    </w:p>
    <w:p w14:paraId="3D63A470">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9.5代理机构将在成交通知书发出后五个工作日内退还未成交人的磋商保证金，在合同签订后五个工作日内退还成交人的磋商保证金；</w:t>
      </w:r>
    </w:p>
    <w:p w14:paraId="4F0895CE">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9.6因</w:t>
      </w:r>
      <w:r>
        <w:rPr>
          <w:rFonts w:hint="eastAsia"/>
          <w:sz w:val="24"/>
        </w:rPr>
        <w:t>供应商</w:t>
      </w:r>
      <w:r>
        <w:rPr>
          <w:rFonts w:hint="eastAsia" w:asciiTheme="minorEastAsia" w:hAnsiTheme="minorEastAsia" w:eastAsiaTheme="minorEastAsia"/>
          <w:bCs/>
          <w:sz w:val="24"/>
        </w:rPr>
        <w:t>自身原因导致无法及时退还的，业主单位或代理机构将不承担相应责任。</w:t>
      </w:r>
    </w:p>
    <w:p w14:paraId="0621E08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9.7有下列情形之一的，磋商保证金不予退还：</w:t>
      </w:r>
    </w:p>
    <w:p w14:paraId="49B152A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w:t>
      </w:r>
      <w:r>
        <w:rPr>
          <w:rFonts w:hint="eastAsia"/>
          <w:sz w:val="24"/>
        </w:rPr>
        <w:t>供应商</w:t>
      </w:r>
      <w:r>
        <w:rPr>
          <w:rFonts w:hint="eastAsia" w:asciiTheme="minorEastAsia" w:hAnsiTheme="minorEastAsia" w:eastAsiaTheme="minorEastAsia"/>
          <w:bCs/>
          <w:sz w:val="24"/>
        </w:rPr>
        <w:t>在提交响应文件截止时间后撤回响应文件的；</w:t>
      </w:r>
    </w:p>
    <w:p w14:paraId="3796DDC4">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（2）除因不可抗力或磋商文件认可的情形以外，成交人不与业主单位签订合同的；</w:t>
      </w:r>
    </w:p>
    <w:p w14:paraId="07BA6608">
      <w:pPr>
        <w:spacing w:line="360" w:lineRule="auto"/>
        <w:ind w:firstLine="437"/>
        <w:outlineLvl w:val="3"/>
      </w:pPr>
      <w:r>
        <w:rPr>
          <w:rFonts w:hint="eastAsia" w:asciiTheme="minorEastAsia" w:hAnsiTheme="minorEastAsia" w:eastAsiaTheme="minorEastAsia"/>
          <w:bCs/>
          <w:sz w:val="24"/>
        </w:rPr>
        <w:t>（3）</w:t>
      </w:r>
      <w:r>
        <w:rPr>
          <w:rFonts w:hint="eastAsia"/>
          <w:sz w:val="24"/>
        </w:rPr>
        <w:t>供应商</w:t>
      </w:r>
      <w:r>
        <w:rPr>
          <w:rFonts w:hint="eastAsia" w:asciiTheme="minorEastAsia" w:hAnsiTheme="minorEastAsia" w:eastAsiaTheme="minorEastAsia"/>
          <w:bCs/>
          <w:sz w:val="24"/>
        </w:rPr>
        <w:t>须知前附表中规定的其他不予退还磋商保证金的情形。</w:t>
      </w:r>
    </w:p>
    <w:p w14:paraId="6317434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10.磋商有效期</w:t>
      </w:r>
    </w:p>
    <w:p w14:paraId="64CEE4B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10.1磋商有效期为从响应文件提交截止之日算起的日历天数，磋商有效期详见</w:t>
      </w:r>
      <w:r>
        <w:rPr>
          <w:rFonts w:hint="eastAsia"/>
          <w:sz w:val="24"/>
        </w:rPr>
        <w:t>供应商</w:t>
      </w:r>
      <w:r>
        <w:rPr>
          <w:rFonts w:hint="eastAsia" w:asciiTheme="minorEastAsia" w:hAnsiTheme="minorEastAsia" w:eastAsiaTheme="minorEastAsia"/>
          <w:bCs/>
          <w:sz w:val="24"/>
        </w:rPr>
        <w:t>须知前附表。</w:t>
      </w:r>
    </w:p>
    <w:p w14:paraId="4B14410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10.2在磋商有效期内，</w:t>
      </w:r>
      <w:r>
        <w:rPr>
          <w:rFonts w:hint="eastAsia"/>
          <w:sz w:val="24"/>
        </w:rPr>
        <w:t>供应商</w:t>
      </w:r>
      <w:r>
        <w:rPr>
          <w:rFonts w:hint="eastAsia" w:asciiTheme="minorEastAsia" w:hAnsiTheme="minorEastAsia" w:eastAsiaTheme="minorEastAsia"/>
          <w:bCs/>
          <w:sz w:val="24"/>
        </w:rPr>
        <w:t>的磋商保持有效，</w:t>
      </w:r>
      <w:r>
        <w:rPr>
          <w:rFonts w:hint="eastAsia"/>
          <w:sz w:val="24"/>
        </w:rPr>
        <w:t>供应商</w:t>
      </w:r>
      <w:r>
        <w:rPr>
          <w:rFonts w:hint="eastAsia" w:asciiTheme="minorEastAsia" w:hAnsiTheme="minorEastAsia" w:eastAsiaTheme="minorEastAsia"/>
          <w:bCs/>
          <w:sz w:val="24"/>
        </w:rPr>
        <w:t>不得要求撤销或修改其响应文件。磋商有效期不满足要求的响应，其响应文件将被认定为响应无效。</w:t>
      </w:r>
    </w:p>
    <w:p w14:paraId="78A8883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10.3为保证有充分时间签订合同，业主单位或代理机构可根据实际情况，在原磋商有效期截止之前，要求</w:t>
      </w:r>
      <w:r>
        <w:rPr>
          <w:rFonts w:hint="eastAsia"/>
          <w:sz w:val="24"/>
        </w:rPr>
        <w:t>供应商</w:t>
      </w:r>
      <w:r>
        <w:rPr>
          <w:rFonts w:hint="eastAsia" w:asciiTheme="minorEastAsia" w:hAnsiTheme="minorEastAsia" w:eastAsiaTheme="minorEastAsia"/>
          <w:bCs/>
          <w:sz w:val="24"/>
        </w:rPr>
        <w:t>延长磋商有效期。接受该要求的</w:t>
      </w:r>
      <w:r>
        <w:rPr>
          <w:rFonts w:hint="eastAsia"/>
          <w:sz w:val="24"/>
        </w:rPr>
        <w:t>供应商</w:t>
      </w:r>
      <w:r>
        <w:rPr>
          <w:rFonts w:hint="eastAsia" w:asciiTheme="minorEastAsia" w:hAnsiTheme="minorEastAsia" w:eastAsiaTheme="minorEastAsia"/>
          <w:bCs/>
          <w:sz w:val="24"/>
        </w:rPr>
        <w:t>将不会被要求和允许修正其响应文件。</w:t>
      </w:r>
      <w:r>
        <w:rPr>
          <w:rFonts w:hint="eastAsia"/>
          <w:sz w:val="24"/>
        </w:rPr>
        <w:t>供应商</w:t>
      </w:r>
      <w:r>
        <w:rPr>
          <w:rFonts w:hint="eastAsia" w:asciiTheme="minorEastAsia" w:hAnsiTheme="minorEastAsia" w:eastAsiaTheme="minorEastAsia"/>
          <w:bCs/>
          <w:sz w:val="24"/>
        </w:rPr>
        <w:t>可以拒绝延长磋商有效期的要求，且不承担任何责任。上述要求和答复都应以书面形式提交。</w:t>
      </w:r>
    </w:p>
    <w:p w14:paraId="1DC62B1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11.响应文件的制作</w:t>
      </w:r>
    </w:p>
    <w:p w14:paraId="7E11891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11.1.本项目采用全流程电子化方式，</w:t>
      </w:r>
      <w:r>
        <w:rPr>
          <w:rFonts w:hint="eastAsia"/>
          <w:sz w:val="24"/>
        </w:rPr>
        <w:t>供应商</w:t>
      </w:r>
      <w:r>
        <w:rPr>
          <w:rFonts w:hint="eastAsia" w:asciiTheme="minorEastAsia" w:hAnsiTheme="minorEastAsia" w:eastAsiaTheme="minorEastAsia"/>
          <w:bCs/>
          <w:sz w:val="24"/>
        </w:rPr>
        <w:t>必须递交电子响应文件，并对电子响应文件进行电子签章并使用CA锁进行加密，在磋商文件规定的响应截止时间前使用“优质采投标工具客户端”完成上传。</w:t>
      </w:r>
    </w:p>
    <w:p w14:paraId="6602F06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11.2.全流程电磋商项目</w:t>
      </w:r>
      <w:r>
        <w:rPr>
          <w:rFonts w:hint="eastAsia"/>
          <w:sz w:val="24"/>
        </w:rPr>
        <w:t>供应商</w:t>
      </w:r>
      <w:r>
        <w:rPr>
          <w:rFonts w:hint="eastAsia" w:asciiTheme="minorEastAsia" w:hAnsiTheme="minorEastAsia" w:eastAsiaTheme="minorEastAsia"/>
          <w:bCs/>
          <w:sz w:val="24"/>
        </w:rPr>
        <w:t>必须上传CA锁加密的电子响应文件，</w:t>
      </w:r>
      <w:r>
        <w:rPr>
          <w:rFonts w:hint="eastAsia"/>
          <w:sz w:val="24"/>
        </w:rPr>
        <w:t>供应商</w:t>
      </w:r>
      <w:r>
        <w:rPr>
          <w:rFonts w:hint="eastAsia" w:asciiTheme="minorEastAsia" w:hAnsiTheme="minorEastAsia" w:eastAsiaTheme="minorEastAsia"/>
          <w:bCs/>
          <w:sz w:val="24"/>
        </w:rPr>
        <w:t>下载磋商文件后，如未在磋商文件规定的响应文件递交截止时间前上传电子响应文件，视为无效；</w:t>
      </w:r>
      <w:r>
        <w:rPr>
          <w:rFonts w:hint="eastAsia"/>
          <w:sz w:val="24"/>
        </w:rPr>
        <w:t>供应商</w:t>
      </w:r>
      <w:r>
        <w:rPr>
          <w:rFonts w:hint="eastAsia" w:asciiTheme="minorEastAsia" w:hAnsiTheme="minorEastAsia" w:eastAsiaTheme="minorEastAsia"/>
          <w:bCs/>
          <w:sz w:val="24"/>
        </w:rPr>
        <w:t>在响应文件递交截止时间前，可以对其所递交的电子响应文件进行撤回，修改后重新上传（具体操作详见教程）；</w:t>
      </w:r>
    </w:p>
    <w:p w14:paraId="47F954CB">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11.3.响应文件递交截止时间以优质采云采购平台（http://www.youzhicai.com/）系统的时间为准，逾期系统将自动关闭,电子响应文件未完成上传的，视为没有递交响应文件；</w:t>
      </w:r>
    </w:p>
    <w:p w14:paraId="5DD3DAF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11.4.响应文件可远程解密，</w:t>
      </w:r>
      <w:r>
        <w:rPr>
          <w:rFonts w:hint="eastAsia"/>
          <w:sz w:val="24"/>
        </w:rPr>
        <w:t>供应商</w:t>
      </w:r>
      <w:r>
        <w:rPr>
          <w:rFonts w:hint="eastAsia" w:asciiTheme="minorEastAsia" w:hAnsiTheme="minorEastAsia" w:eastAsiaTheme="minorEastAsia"/>
          <w:bCs/>
          <w:sz w:val="24"/>
        </w:rPr>
        <w:t>无需到达磋商现场。磋商文件“</w:t>
      </w:r>
      <w:r>
        <w:rPr>
          <w:rFonts w:hint="eastAsia"/>
          <w:sz w:val="24"/>
        </w:rPr>
        <w:t>供应商</w:t>
      </w:r>
      <w:r>
        <w:rPr>
          <w:rFonts w:hint="eastAsia" w:asciiTheme="minorEastAsia" w:hAnsiTheme="minorEastAsia" w:eastAsiaTheme="minorEastAsia"/>
          <w:bCs/>
          <w:sz w:val="24"/>
        </w:rPr>
        <w:t>须知”中另有规定的，从其规定。</w:t>
      </w:r>
    </w:p>
    <w:p w14:paraId="2D9B5E0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 xml:space="preserve">11.5. </w:t>
      </w:r>
      <w:r>
        <w:rPr>
          <w:rFonts w:hint="eastAsia"/>
          <w:sz w:val="24"/>
        </w:rPr>
        <w:t>供应商</w:t>
      </w:r>
      <w:r>
        <w:rPr>
          <w:rFonts w:hint="eastAsia" w:asciiTheme="minorEastAsia" w:hAnsiTheme="minorEastAsia" w:eastAsiaTheme="minorEastAsia"/>
          <w:bCs/>
          <w:sz w:val="24"/>
        </w:rPr>
        <w:t>在制作、上传电子响应文件过程中，若存在技术操作问题，请及时联系优质采云采购平台客服人员，客服电话：400-0099-555，0551-62220164，0551-62220012。</w:t>
      </w:r>
    </w:p>
    <w:p w14:paraId="3B0095B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12.响应文件提交截止时间</w:t>
      </w:r>
    </w:p>
    <w:p w14:paraId="09444D5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12.1</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须知前附表中规定的响应文件提交截止时间前，在网上提交加密电子响应文件。</w:t>
      </w:r>
    </w:p>
    <w:p w14:paraId="5E04167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12.2</w:t>
      </w:r>
      <w:r>
        <w:rPr>
          <w:rFonts w:hint="eastAsia"/>
          <w:sz w:val="24"/>
        </w:rPr>
        <w:t>供应商</w:t>
      </w:r>
      <w:r>
        <w:rPr>
          <w:rFonts w:hint="eastAsia" w:asciiTheme="minorEastAsia" w:hAnsiTheme="minorEastAsia" w:eastAsiaTheme="minorEastAsia"/>
          <w:bCs/>
          <w:sz w:val="24"/>
        </w:rPr>
        <w:t>在磋商文件规定的响应文件提交截止时间前上传了网上加密电子响应文件，但未在规定时间内进行解密的，响应无效。</w:t>
      </w:r>
    </w:p>
    <w:p w14:paraId="5A5894E7">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12.3业主单位和代理机构延迟响应文件提交截止时间的。在此情况下，业主单位、代理机构和</w:t>
      </w:r>
      <w:r>
        <w:rPr>
          <w:rFonts w:hint="eastAsia"/>
          <w:sz w:val="24"/>
        </w:rPr>
        <w:t>供应商</w:t>
      </w:r>
      <w:r>
        <w:rPr>
          <w:rFonts w:hint="eastAsia" w:asciiTheme="minorEastAsia" w:hAnsiTheme="minorEastAsia" w:eastAsiaTheme="minorEastAsia"/>
          <w:bCs/>
          <w:sz w:val="24"/>
        </w:rPr>
        <w:t>受响应文件提交截止时间制约的所有权利和义务均应延长至新的截止时间。</w:t>
      </w:r>
    </w:p>
    <w:p w14:paraId="4EFD32CA">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13.响应文件的提交、修改与撤回</w:t>
      </w:r>
    </w:p>
    <w:p w14:paraId="5EFC0E6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13.1</w:t>
      </w:r>
      <w:r>
        <w:rPr>
          <w:rFonts w:hint="eastAsia"/>
          <w:sz w:val="24"/>
        </w:rPr>
        <w:t>供应商</w:t>
      </w:r>
      <w:r>
        <w:rPr>
          <w:rFonts w:hint="eastAsia" w:asciiTheme="minorEastAsia" w:hAnsiTheme="minorEastAsia" w:eastAsiaTheme="minorEastAsia"/>
          <w:bCs/>
          <w:sz w:val="24"/>
        </w:rPr>
        <w:t>应当在第一章“磋商邀请”规定的响应文件提交截止时间前，将加密的响应文件在优质采云采购平台（http://www.youzhicai.com/）上传。</w:t>
      </w:r>
    </w:p>
    <w:p w14:paraId="735CDF3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13.2</w:t>
      </w:r>
      <w:r>
        <w:rPr>
          <w:rFonts w:hint="eastAsia"/>
          <w:sz w:val="24"/>
        </w:rPr>
        <w:t>供应商</w:t>
      </w:r>
      <w:r>
        <w:rPr>
          <w:rFonts w:hint="eastAsia" w:asciiTheme="minorEastAsia" w:hAnsiTheme="minorEastAsia" w:eastAsiaTheme="minorEastAsia"/>
          <w:bCs/>
          <w:sz w:val="24"/>
        </w:rPr>
        <w:t>应当在响应文件提交截止时间前完成响应文件的传输提交，并可以补充、修改或者撤回响应文件。响应文件提交截止时间前未完成响应文件传输的，视为撤回响应文件。未按规定加密或响应文件提交截止时间后送达的响应文件，电子交易系统应当拒收。</w:t>
      </w:r>
    </w:p>
    <w:p w14:paraId="6A9D9DD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13.3</w:t>
      </w:r>
      <w:r>
        <w:rPr>
          <w:rFonts w:hint="eastAsia"/>
          <w:sz w:val="24"/>
        </w:rPr>
        <w:t>供应商</w:t>
      </w:r>
      <w:r>
        <w:rPr>
          <w:rFonts w:hint="eastAsia" w:asciiTheme="minorEastAsia" w:hAnsiTheme="minorEastAsia" w:eastAsiaTheme="minorEastAsia"/>
          <w:bCs/>
          <w:sz w:val="24"/>
        </w:rPr>
        <w:t>应在</w:t>
      </w:r>
      <w:r>
        <w:rPr>
          <w:rFonts w:hint="eastAsia"/>
          <w:sz w:val="24"/>
        </w:rPr>
        <w:t>供应商</w:t>
      </w:r>
      <w:r>
        <w:rPr>
          <w:rFonts w:hint="eastAsia" w:asciiTheme="minorEastAsia" w:hAnsiTheme="minorEastAsia" w:eastAsiaTheme="minorEastAsia"/>
          <w:bCs/>
          <w:sz w:val="24"/>
        </w:rPr>
        <w:t>须知前附表规定的解密时间前（以优质采云采购平台（http://www.youzhicai.com/）系统的解密倒计时为准）对本单位的响应文件进行解密，代理机构工作人员解密所有响应文件。</w:t>
      </w:r>
    </w:p>
    <w:p w14:paraId="21066EE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13.4在响应文件提交截止时间之后，</w:t>
      </w:r>
      <w:r>
        <w:rPr>
          <w:rFonts w:hint="eastAsia"/>
          <w:sz w:val="24"/>
        </w:rPr>
        <w:t>供应商</w:t>
      </w:r>
      <w:r>
        <w:rPr>
          <w:rFonts w:hint="eastAsia" w:asciiTheme="minorEastAsia" w:hAnsiTheme="minorEastAsia" w:eastAsiaTheme="minorEastAsia"/>
          <w:bCs/>
          <w:sz w:val="24"/>
        </w:rPr>
        <w:t>不得对其响应文件做任何修改。但属于磋商小组在评审中发现的计算错误并进行核实的修改、按照磋商文件的变动情况和磋商小组的要求重新提交响应文件的，不在此列。</w:t>
      </w:r>
    </w:p>
    <w:p w14:paraId="57175C0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14.磋商小组</w:t>
      </w:r>
    </w:p>
    <w:p w14:paraId="78437CF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14.1本项目将依法组建磋商小组，磋商小组成员由3人以上单数组成，磋商小组及其成员应当依照有关规定履行相关职责和义务。</w:t>
      </w:r>
    </w:p>
    <w:p w14:paraId="556696B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14.2磋商小组依法对响应文件进行评审，并根据磋商文件规定的程序、评定成交的标准等事项与实质性响应磋商文件要求的</w:t>
      </w:r>
      <w:r>
        <w:rPr>
          <w:rFonts w:hint="eastAsia"/>
          <w:sz w:val="24"/>
        </w:rPr>
        <w:t>供应商</w:t>
      </w:r>
      <w:r>
        <w:rPr>
          <w:rFonts w:hint="eastAsia" w:asciiTheme="minorEastAsia" w:hAnsiTheme="minorEastAsia" w:eastAsiaTheme="minorEastAsia"/>
          <w:bCs/>
          <w:sz w:val="24"/>
        </w:rPr>
        <w:t>进行磋商。</w:t>
      </w:r>
    </w:p>
    <w:p w14:paraId="064E10E3">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14.3磋商小组应当从质量和服务均能满足磋商文件实质性响应要求的</w:t>
      </w:r>
      <w:r>
        <w:rPr>
          <w:rFonts w:hint="eastAsia"/>
          <w:sz w:val="24"/>
        </w:rPr>
        <w:t>供应商</w:t>
      </w:r>
      <w:r>
        <w:rPr>
          <w:rFonts w:hint="eastAsia" w:asciiTheme="minorEastAsia" w:hAnsiTheme="minorEastAsia" w:eastAsiaTheme="minorEastAsia"/>
          <w:bCs/>
          <w:sz w:val="24"/>
        </w:rPr>
        <w:t>中，按照评审方法和标准推荐成交候选人，并编写评审报告。</w:t>
      </w:r>
    </w:p>
    <w:p w14:paraId="4B89729E">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.响应文件的评审与磋商</w:t>
      </w:r>
    </w:p>
    <w:p w14:paraId="4DC3353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15.1业主单位和代理机构将在</w:t>
      </w:r>
      <w:r>
        <w:rPr>
          <w:rFonts w:hint="eastAsia"/>
          <w:sz w:val="24"/>
        </w:rPr>
        <w:t>供应商</w:t>
      </w:r>
      <w:r>
        <w:rPr>
          <w:rFonts w:hint="eastAsia" w:asciiTheme="minorEastAsia" w:hAnsiTheme="minorEastAsia" w:eastAsiaTheme="minorEastAsia"/>
          <w:sz w:val="24"/>
        </w:rPr>
        <w:t>须知前附表规定的时间和地点组织磋商。</w:t>
      </w:r>
    </w:p>
    <w:p w14:paraId="518D5ACC">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15.2磋商活动采用综合评分法评审。</w:t>
      </w:r>
    </w:p>
    <w:p w14:paraId="1533EA9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综合评分法，是指响应文件满足磋商文件全部实质性要求且按评审因素的量化指标评审得分最高的</w:t>
      </w:r>
      <w:r>
        <w:rPr>
          <w:rFonts w:hint="eastAsia"/>
          <w:sz w:val="24"/>
        </w:rPr>
        <w:t>供应商</w:t>
      </w:r>
      <w:r>
        <w:rPr>
          <w:rFonts w:hint="eastAsia" w:asciiTheme="minorEastAsia" w:hAnsiTheme="minorEastAsia" w:eastAsiaTheme="minorEastAsia"/>
          <w:sz w:val="24"/>
        </w:rPr>
        <w:t>为成交候选人的评审方法。</w:t>
      </w:r>
    </w:p>
    <w:p w14:paraId="1F04EA50">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15.3磋商小组将按照磋商文件规定的评审方法和标准对</w:t>
      </w:r>
      <w:r>
        <w:rPr>
          <w:rFonts w:hint="eastAsia"/>
          <w:sz w:val="24"/>
        </w:rPr>
        <w:t>供应商</w:t>
      </w:r>
      <w:r>
        <w:rPr>
          <w:rFonts w:hint="eastAsia" w:asciiTheme="minorEastAsia" w:hAnsiTheme="minorEastAsia" w:eastAsiaTheme="minorEastAsia"/>
          <w:sz w:val="24"/>
        </w:rPr>
        <w:t>独立进行评审。评审程序如下：</w:t>
      </w:r>
    </w:p>
    <w:p w14:paraId="660902D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15.3.1初审。磋商小组对</w:t>
      </w:r>
      <w:r>
        <w:rPr>
          <w:rFonts w:hint="eastAsia"/>
          <w:sz w:val="24"/>
        </w:rPr>
        <w:t>供应商</w:t>
      </w:r>
      <w:r>
        <w:rPr>
          <w:rFonts w:hint="eastAsia" w:asciiTheme="minorEastAsia" w:hAnsiTheme="minorEastAsia" w:eastAsiaTheme="minorEastAsia"/>
          <w:sz w:val="24"/>
        </w:rPr>
        <w:t>必须满足和实质性响应的内容进行评审，</w:t>
      </w:r>
      <w:r>
        <w:rPr>
          <w:rFonts w:hint="eastAsia"/>
          <w:sz w:val="24"/>
        </w:rPr>
        <w:t>供应商</w:t>
      </w:r>
      <w:r>
        <w:rPr>
          <w:rFonts w:hint="eastAsia" w:asciiTheme="minorEastAsia" w:hAnsiTheme="minorEastAsia" w:eastAsiaTheme="minorEastAsia"/>
          <w:sz w:val="24"/>
        </w:rPr>
        <w:t>未实质性响应磋商文件要求导致响应无效的，磋商小组将以书面询问的方式告知有关</w:t>
      </w:r>
      <w:r>
        <w:rPr>
          <w:rFonts w:hint="eastAsia"/>
          <w:sz w:val="24"/>
        </w:rPr>
        <w:t>供应商</w:t>
      </w:r>
      <w:r>
        <w:rPr>
          <w:rFonts w:hint="eastAsia" w:asciiTheme="minorEastAsia" w:hAnsiTheme="minorEastAsia" w:eastAsiaTheme="minorEastAsia"/>
          <w:sz w:val="24"/>
        </w:rPr>
        <w:t>。</w:t>
      </w:r>
    </w:p>
    <w:p w14:paraId="455FF33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业主单位或代理机构将在响应文件提交截止时间后至评审结束前查询</w:t>
      </w:r>
      <w:r>
        <w:rPr>
          <w:rFonts w:hint="eastAsia"/>
          <w:sz w:val="24"/>
        </w:rPr>
        <w:t>供应商</w:t>
      </w:r>
      <w:r>
        <w:rPr>
          <w:rFonts w:hint="eastAsia" w:asciiTheme="minorEastAsia" w:hAnsiTheme="minorEastAsia" w:eastAsiaTheme="minorEastAsia"/>
          <w:sz w:val="24"/>
        </w:rPr>
        <w:t>的信用记录。</w:t>
      </w:r>
      <w:r>
        <w:rPr>
          <w:rFonts w:hint="eastAsia"/>
          <w:sz w:val="24"/>
        </w:rPr>
        <w:t>供应商</w:t>
      </w:r>
      <w:r>
        <w:rPr>
          <w:rFonts w:hint="eastAsia" w:asciiTheme="minorEastAsia" w:hAnsiTheme="minorEastAsia" w:eastAsiaTheme="minorEastAsia"/>
          <w:sz w:val="24"/>
        </w:rPr>
        <w:t>存在不良信用记录的，其响应文件将被认定为响应无效。</w:t>
      </w:r>
    </w:p>
    <w:p w14:paraId="737DE98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15.3.1.1信用信息查询渠道：“信用中国”网站（www.creditchina.gov.cn）、国家企业信用信息公示系统（</w:t>
      </w:r>
      <w:r>
        <w:fldChar w:fldCharType="begin"/>
      </w:r>
      <w:r>
        <w:instrText xml:space="preserve"> HYPERLINK "http://www.gsxt.gov.cn" </w:instrText>
      </w:r>
      <w:r>
        <w:fldChar w:fldCharType="separate"/>
      </w:r>
      <w:r>
        <w:rPr>
          <w:rFonts w:hint="eastAsia" w:asciiTheme="minorEastAsia" w:hAnsiTheme="minorEastAsia" w:eastAsiaTheme="minorEastAsia"/>
          <w:sz w:val="24"/>
        </w:rPr>
        <w:t>www.gsxt.gov.cn</w:t>
      </w:r>
      <w:r>
        <w:rPr>
          <w:rFonts w:hint="eastAsia" w:asciiTheme="minorEastAsia" w:hAnsiTheme="minorEastAsia" w:eastAsiaTheme="minorEastAsia"/>
          <w:sz w:val="24"/>
        </w:rPr>
        <w:fldChar w:fldCharType="end"/>
      </w:r>
      <w:r>
        <w:rPr>
          <w:rFonts w:hint="eastAsia" w:asciiTheme="minorEastAsia" w:hAnsiTheme="minorEastAsia" w:eastAsiaTheme="minorEastAsia"/>
          <w:sz w:val="24"/>
        </w:rPr>
        <w:t>）：</w:t>
      </w:r>
    </w:p>
    <w:p w14:paraId="4958529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（1）在国家企业信用信息公示系统（http://www.gsxt.gov.cn/）中被列入严重违法失信企业名单；</w:t>
      </w:r>
    </w:p>
    <w:p w14:paraId="171ED3D6">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（2）在“信用中国”网站（http://www.creditchina.gov.cn/）中被列入失信被执行人名单；</w:t>
      </w:r>
    </w:p>
    <w:p w14:paraId="7BA809F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（3）在“信用中国”网站（http://www.creditchina.gov.cn/）中被列入重大税收违法案件当事人名单；</w:t>
      </w:r>
    </w:p>
    <w:p w14:paraId="3606C5B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以联合体形式参加磋商的，联合体任何成员存在以上不良信用记录的，联合体磋商将被认定为响应无效。</w:t>
      </w:r>
    </w:p>
    <w:p w14:paraId="47823117">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15.3.1.2</w:t>
      </w:r>
      <w:r>
        <w:rPr>
          <w:rFonts w:hint="eastAsia"/>
          <w:sz w:val="24"/>
        </w:rPr>
        <w:t>供应商</w:t>
      </w:r>
      <w:r>
        <w:rPr>
          <w:rFonts w:hint="eastAsia" w:asciiTheme="minorEastAsia" w:hAnsiTheme="minorEastAsia" w:eastAsiaTheme="minorEastAsia"/>
          <w:sz w:val="24"/>
        </w:rPr>
        <w:t>不良信用记录以业主单位或代理机构查询结果为准。</w:t>
      </w:r>
    </w:p>
    <w:p w14:paraId="2EFABD0D">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在本磋商文件规定的查询时间之外，网站信息发生的任何变更均不作为初审依据。</w:t>
      </w:r>
    </w:p>
    <w:p w14:paraId="7272C77C">
      <w:pPr>
        <w:spacing w:line="360" w:lineRule="auto"/>
        <w:ind w:firstLine="435"/>
        <w:rPr>
          <w:rFonts w:asciiTheme="minorEastAsia" w:hAnsiTheme="minorEastAsia" w:eastAsiaTheme="minorEastAsia"/>
          <w:sz w:val="24"/>
        </w:rPr>
      </w:pPr>
      <w:r>
        <w:rPr>
          <w:rFonts w:hint="eastAsia"/>
          <w:sz w:val="24"/>
        </w:rPr>
        <w:t>供应商</w:t>
      </w:r>
      <w:r>
        <w:rPr>
          <w:rFonts w:hint="eastAsia" w:asciiTheme="minorEastAsia" w:hAnsiTheme="minorEastAsia" w:eastAsiaTheme="minorEastAsia"/>
          <w:sz w:val="24"/>
        </w:rPr>
        <w:t>自行提供的与网站信息不一致的其他证明材料亦不作为初审依据。</w:t>
      </w:r>
    </w:p>
    <w:p w14:paraId="78E09B1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15.3.2磋商。初审合格后，磋商小组将按网上加密电子响应文件提交顺序集中与单一</w:t>
      </w:r>
      <w:r>
        <w:rPr>
          <w:rFonts w:hint="eastAsia"/>
          <w:sz w:val="24"/>
        </w:rPr>
        <w:t>供应商</w:t>
      </w:r>
      <w:r>
        <w:rPr>
          <w:rFonts w:hint="eastAsia" w:asciiTheme="minorEastAsia" w:hAnsiTheme="minorEastAsia" w:eastAsiaTheme="minorEastAsia"/>
          <w:sz w:val="24"/>
        </w:rPr>
        <w:t>分别进行磋商，并给予所有参加磋商的</w:t>
      </w:r>
      <w:r>
        <w:rPr>
          <w:rFonts w:hint="eastAsia"/>
          <w:sz w:val="24"/>
        </w:rPr>
        <w:t>供应商</w:t>
      </w:r>
      <w:r>
        <w:rPr>
          <w:rFonts w:hint="eastAsia" w:asciiTheme="minorEastAsia" w:hAnsiTheme="minorEastAsia" w:eastAsiaTheme="minorEastAsia"/>
          <w:sz w:val="24"/>
        </w:rPr>
        <w:t>平等的磋商机会。</w:t>
      </w:r>
    </w:p>
    <w:p w14:paraId="550338F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15.3.3报价。磋商结束后，磋商小组应当要求所有实质性响应的</w:t>
      </w:r>
      <w:r>
        <w:rPr>
          <w:rFonts w:hint="eastAsia"/>
          <w:sz w:val="24"/>
        </w:rPr>
        <w:t>供应商</w:t>
      </w:r>
      <w:r>
        <w:rPr>
          <w:rFonts w:hint="eastAsia" w:asciiTheme="minorEastAsia" w:hAnsiTheme="minorEastAsia" w:eastAsiaTheme="minorEastAsia"/>
          <w:sz w:val="24"/>
        </w:rPr>
        <w:t>在规定时间内提交最后报价。磋商文件中另有特殊规定的除外。</w:t>
      </w:r>
    </w:p>
    <w:p w14:paraId="154DB3C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15.3.4综合评分。磋商小组只对通过初审，实质上响应磋商要求的响应文件进行综合评分。经磋商确定最终项目需求和报价的</w:t>
      </w:r>
      <w:r>
        <w:rPr>
          <w:rFonts w:hint="eastAsia"/>
          <w:sz w:val="24"/>
        </w:rPr>
        <w:t>供应商</w:t>
      </w:r>
      <w:r>
        <w:rPr>
          <w:rFonts w:hint="eastAsia" w:asciiTheme="minorEastAsia" w:hAnsiTheme="minorEastAsia" w:eastAsiaTheme="minorEastAsia"/>
          <w:sz w:val="24"/>
        </w:rPr>
        <w:t>后，由磋商小组采用综合评分法对提交报价的</w:t>
      </w:r>
      <w:r>
        <w:rPr>
          <w:rFonts w:hint="eastAsia"/>
          <w:sz w:val="24"/>
        </w:rPr>
        <w:t>供应商</w:t>
      </w:r>
      <w:r>
        <w:rPr>
          <w:rFonts w:hint="eastAsia" w:asciiTheme="minorEastAsia" w:hAnsiTheme="minorEastAsia" w:eastAsiaTheme="minorEastAsia"/>
          <w:sz w:val="24"/>
        </w:rPr>
        <w:t>的响应文件和报价进行综合评分。</w:t>
      </w:r>
    </w:p>
    <w:p w14:paraId="314ACDB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15.4相关说明。</w:t>
      </w:r>
    </w:p>
    <w:p w14:paraId="001E62A8">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15.4.1为保证磋商活动顺利进行，</w:t>
      </w:r>
      <w:r>
        <w:rPr>
          <w:rFonts w:hint="eastAsia"/>
          <w:sz w:val="24"/>
        </w:rPr>
        <w:t>供应商</w:t>
      </w:r>
      <w:r>
        <w:rPr>
          <w:rFonts w:hint="eastAsia" w:asciiTheme="minorEastAsia" w:hAnsiTheme="minorEastAsia" w:eastAsiaTheme="minorEastAsia"/>
          <w:sz w:val="24"/>
        </w:rPr>
        <w:t xml:space="preserve">可派相关技术人员进行网上答疑； </w:t>
      </w:r>
    </w:p>
    <w:p w14:paraId="310032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15.4.2磋商小组根据与</w:t>
      </w:r>
      <w:r>
        <w:rPr>
          <w:rFonts w:hint="eastAsia"/>
          <w:sz w:val="24"/>
        </w:rPr>
        <w:t>供应商</w:t>
      </w:r>
      <w:r>
        <w:rPr>
          <w:rFonts w:hint="eastAsia" w:asciiTheme="minorEastAsia" w:hAnsiTheme="minorEastAsia" w:eastAsiaTheme="minorEastAsia"/>
          <w:sz w:val="24"/>
        </w:rPr>
        <w:t>磋商情况可能实质性变动磋商文件的内容，包括项目需求中的技术、服务要求以及合同草案条款。磋商文件有实质性变动的，经业主单位代表确认作为磋商文件的有效组成部分，磋商小组将以书面形式通知所有参加磋商的</w:t>
      </w:r>
      <w:r>
        <w:rPr>
          <w:rFonts w:hint="eastAsia"/>
          <w:sz w:val="24"/>
        </w:rPr>
        <w:t>供应商</w:t>
      </w:r>
      <w:r>
        <w:rPr>
          <w:rFonts w:hint="eastAsia" w:asciiTheme="minorEastAsia" w:hAnsiTheme="minorEastAsia" w:eastAsiaTheme="minorEastAsia"/>
          <w:sz w:val="24"/>
        </w:rPr>
        <w:t>。</w:t>
      </w:r>
    </w:p>
    <w:p w14:paraId="09F8AA7E">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15.4.3磋商小组发现</w:t>
      </w:r>
      <w:r>
        <w:rPr>
          <w:rFonts w:hint="eastAsia"/>
          <w:sz w:val="24"/>
        </w:rPr>
        <w:t>供应商</w:t>
      </w:r>
      <w:r>
        <w:rPr>
          <w:rFonts w:hint="eastAsia" w:asciiTheme="minorEastAsia" w:hAnsiTheme="minorEastAsia" w:eastAsiaTheme="minorEastAsia"/>
          <w:sz w:val="24"/>
        </w:rPr>
        <w:t>的报价或者某些分项报价明显低于其他通过初审的</w:t>
      </w:r>
      <w:r>
        <w:rPr>
          <w:rFonts w:hint="eastAsia"/>
          <w:sz w:val="24"/>
        </w:rPr>
        <w:t>供应商</w:t>
      </w:r>
      <w:r>
        <w:rPr>
          <w:rFonts w:hint="eastAsia" w:asciiTheme="minorEastAsia" w:hAnsiTheme="minorEastAsia" w:eastAsiaTheme="minorEastAsia"/>
          <w:sz w:val="24"/>
        </w:rPr>
        <w:t>的报价，有可能影响产品质量和不能诚信履约的，应当要求其在合理的时间内提供书面说明，必要时提交相关证明材料；</w:t>
      </w:r>
      <w:r>
        <w:rPr>
          <w:rFonts w:hint="eastAsia"/>
          <w:sz w:val="24"/>
        </w:rPr>
        <w:t>供应商</w:t>
      </w:r>
      <w:r>
        <w:rPr>
          <w:rFonts w:hint="eastAsia" w:asciiTheme="minorEastAsia" w:hAnsiTheme="minorEastAsia" w:eastAsiaTheme="minorEastAsia"/>
          <w:sz w:val="24"/>
        </w:rPr>
        <w:t>不能证明其报价合理性的，其响应文件将被认定为响应无效。</w:t>
      </w:r>
    </w:p>
    <w:p w14:paraId="44ED70F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15.4.4无论何种原因，即使</w:t>
      </w:r>
      <w:r>
        <w:rPr>
          <w:rFonts w:hint="eastAsia"/>
          <w:sz w:val="24"/>
        </w:rPr>
        <w:t>供应商</w:t>
      </w:r>
      <w:r>
        <w:rPr>
          <w:rFonts w:hint="eastAsia" w:asciiTheme="minorEastAsia" w:hAnsiTheme="minorEastAsia" w:eastAsiaTheme="minorEastAsia"/>
          <w:sz w:val="24"/>
        </w:rPr>
        <w:t>磋商时携带了证书材料的原件，但响应文件中未提供与之内容完全一致的扫描件或影印件的，磋商小组可以视同其未提供。</w:t>
      </w:r>
    </w:p>
    <w:p w14:paraId="5BE2D6A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15.4.5磋商小组决定响应文件的响应性及符合性只根据响应文件本身的内容，而不寻求其他外部证据。</w:t>
      </w:r>
    </w:p>
    <w:p w14:paraId="4EA84F71">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15.5</w:t>
      </w:r>
      <w:r>
        <w:rPr>
          <w:rFonts w:hint="eastAsia"/>
          <w:sz w:val="24"/>
        </w:rPr>
        <w:t>供应商</w:t>
      </w:r>
      <w:r>
        <w:rPr>
          <w:rFonts w:hint="eastAsia" w:asciiTheme="minorEastAsia" w:hAnsiTheme="minorEastAsia" w:eastAsiaTheme="minorEastAsia"/>
          <w:sz w:val="24"/>
        </w:rPr>
        <w:t>授权代表对磋商过程有疑义，以及认为业主单位、代理机构相关工作人员有需要回避的情形的，应当场提出询问或者回避申请，并说明理由。</w:t>
      </w:r>
    </w:p>
    <w:p w14:paraId="4805D3D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16.终止磋商</w:t>
      </w:r>
    </w:p>
    <w:p w14:paraId="03060A1F">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16.1出现下列情况之一时，业主单位和代理机构有权宣布终止磋商，并将理由通知所有</w:t>
      </w:r>
      <w:r>
        <w:rPr>
          <w:rFonts w:hint="eastAsia"/>
          <w:sz w:val="24"/>
        </w:rPr>
        <w:t>供应商</w:t>
      </w:r>
      <w:r>
        <w:rPr>
          <w:rFonts w:hint="eastAsia" w:asciiTheme="minorEastAsia" w:hAnsiTheme="minorEastAsia" w:eastAsiaTheme="minorEastAsia"/>
          <w:bCs/>
          <w:sz w:val="24"/>
        </w:rPr>
        <w:t>：</w:t>
      </w:r>
    </w:p>
    <w:p w14:paraId="6EA0950D">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（1）有效</w:t>
      </w:r>
      <w:r>
        <w:rPr>
          <w:rFonts w:hint="eastAsia"/>
          <w:sz w:val="24"/>
        </w:rPr>
        <w:t>供应商</w:t>
      </w:r>
      <w:r>
        <w:rPr>
          <w:rFonts w:hint="eastAsia" w:asciiTheme="minorEastAsia" w:hAnsiTheme="minorEastAsia" w:eastAsiaTheme="minorEastAsia"/>
          <w:bCs/>
          <w:sz w:val="24"/>
        </w:rPr>
        <w:t>数量不足，导致本次磋商缺乏竞争的；</w:t>
      </w:r>
    </w:p>
    <w:p w14:paraId="4737642B">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（2）出现影响磋商公正的违法、违规行为的；</w:t>
      </w:r>
    </w:p>
    <w:p w14:paraId="5FB4C1C3">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（3）因重大变故，磋商任务取消的；</w:t>
      </w:r>
    </w:p>
    <w:p w14:paraId="4C8AEBB2">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（4）法律法规规定的其他情形。</w:t>
      </w:r>
    </w:p>
    <w:p w14:paraId="1C7C1B90">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17</w:t>
      </w:r>
      <w:r>
        <w:rPr>
          <w:rFonts w:asciiTheme="minorEastAsia" w:hAnsiTheme="minorEastAsia" w:eastAsiaTheme="minorEastAsia"/>
          <w:b/>
          <w:sz w:val="24"/>
        </w:rPr>
        <w:t>.响应文件的澄清、说明或</w:t>
      </w:r>
      <w:r>
        <w:rPr>
          <w:rFonts w:hint="eastAsia" w:asciiTheme="minorEastAsia" w:hAnsiTheme="minorEastAsia" w:eastAsiaTheme="minorEastAsia"/>
          <w:b/>
          <w:sz w:val="24"/>
        </w:rPr>
        <w:t>更正</w:t>
      </w:r>
    </w:p>
    <w:p w14:paraId="4305E98A">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17.1磋商小组将对响应文件的有效性、完整性和响应程度进行审查，审查时可以要求</w:t>
      </w:r>
      <w:r>
        <w:rPr>
          <w:rFonts w:hint="eastAsia"/>
          <w:sz w:val="24"/>
        </w:rPr>
        <w:t>供应商</w:t>
      </w:r>
      <w:r>
        <w:rPr>
          <w:rFonts w:hint="eastAsia" w:asciiTheme="minorEastAsia" w:hAnsiTheme="minorEastAsia" w:eastAsiaTheme="minorEastAsia"/>
          <w:sz w:val="24"/>
        </w:rPr>
        <w:t>对响应文件中含义不明确、同类问题表述不一致或者有明显文字和计算错误的内容等作出必要的澄清、说明或者更正。</w:t>
      </w:r>
      <w:r>
        <w:rPr>
          <w:rFonts w:hint="eastAsia"/>
          <w:sz w:val="24"/>
        </w:rPr>
        <w:t>供应商</w:t>
      </w:r>
      <w:r>
        <w:rPr>
          <w:rFonts w:hint="eastAsia" w:asciiTheme="minorEastAsia" w:hAnsiTheme="minorEastAsia" w:eastAsiaTheme="minorEastAsia"/>
          <w:sz w:val="24"/>
        </w:rPr>
        <w:t>的澄清、说明或者更正不得超出响应文件的范围或者改变响应文件的实质性内容。对不同文字文本响应文件的解释发生异议的，以中文文本为准。</w:t>
      </w:r>
    </w:p>
    <w:p w14:paraId="00B9B9C9">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17.2磋商小组通过优质采电子工具将需要澄清、说明或补正的内容以询问函的形式发送给</w:t>
      </w:r>
      <w:r>
        <w:rPr>
          <w:rFonts w:hint="eastAsia"/>
          <w:sz w:val="24"/>
        </w:rPr>
        <w:t>供应商</w:t>
      </w:r>
      <w:r>
        <w:rPr>
          <w:rFonts w:hint="eastAsia" w:asciiTheme="minorEastAsia" w:hAnsiTheme="minorEastAsia" w:eastAsiaTheme="minorEastAsia"/>
          <w:sz w:val="24"/>
        </w:rPr>
        <w:t>，</w:t>
      </w:r>
      <w:r>
        <w:rPr>
          <w:rFonts w:hint="eastAsia"/>
          <w:sz w:val="24"/>
        </w:rPr>
        <w:t>供应商</w:t>
      </w:r>
      <w:r>
        <w:rPr>
          <w:rFonts w:hint="eastAsia" w:asciiTheme="minorEastAsia" w:hAnsiTheme="minorEastAsia" w:eastAsiaTheme="minorEastAsia"/>
          <w:sz w:val="24"/>
        </w:rPr>
        <w:t>应登录优质采客户端并保持在线状态，以便及时接收磋商小组可能发出的询问函，并在询问函载明的时间内回复，若</w:t>
      </w:r>
      <w:r>
        <w:rPr>
          <w:rFonts w:hint="eastAsia"/>
          <w:sz w:val="24"/>
        </w:rPr>
        <w:t>供应商</w:t>
      </w:r>
      <w:r>
        <w:rPr>
          <w:rFonts w:hint="eastAsia" w:asciiTheme="minorEastAsia" w:hAnsiTheme="minorEastAsia" w:eastAsiaTheme="minorEastAsia"/>
          <w:sz w:val="24"/>
        </w:rPr>
        <w:t>未及时回复，视为放弃澄清。</w:t>
      </w:r>
    </w:p>
    <w:p w14:paraId="30862FF6">
      <w:pPr>
        <w:spacing w:line="360" w:lineRule="auto"/>
        <w:ind w:firstLine="435"/>
        <w:rPr>
          <w:rFonts w:asciiTheme="minorEastAsia" w:hAnsiTheme="minorEastAsia" w:eastAsiaTheme="minorEastAsia"/>
          <w:sz w:val="24"/>
        </w:rPr>
      </w:pPr>
      <w:r>
        <w:rPr>
          <w:rFonts w:hint="eastAsia" w:asciiTheme="minorEastAsia" w:hAnsiTheme="minorEastAsia" w:eastAsiaTheme="minorEastAsia"/>
          <w:b/>
          <w:bCs/>
          <w:sz w:val="24"/>
        </w:rPr>
        <w:t>如有询问，授权代表（或法定代表人）可通过远程登录的方式接受网上询问，也可凭本人有效身份证明参加询问。因授权代表联系不上、没有及时登录系统等情形而无法接受磋商小组询问的，供应商自行承担相关风险。</w:t>
      </w:r>
    </w:p>
    <w:p w14:paraId="5ED3B416">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18.报价</w:t>
      </w:r>
    </w:p>
    <w:p w14:paraId="62EB136C">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18.1本次磋商一次性报价。</w:t>
      </w:r>
    </w:p>
    <w:p w14:paraId="528FD609">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18.3报价是</w:t>
      </w:r>
      <w:r>
        <w:rPr>
          <w:rFonts w:hint="eastAsia"/>
          <w:sz w:val="24"/>
        </w:rPr>
        <w:t>供应商</w:t>
      </w:r>
      <w:r>
        <w:rPr>
          <w:rFonts w:hint="eastAsia" w:asciiTheme="minorEastAsia" w:hAnsiTheme="minorEastAsia" w:eastAsiaTheme="minorEastAsia"/>
          <w:bCs/>
          <w:sz w:val="24"/>
        </w:rPr>
        <w:t>响应文件的有效组成部分，也是签订合同的依据。</w:t>
      </w:r>
    </w:p>
    <w:p w14:paraId="59C3AB04">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18.4除国家政策性文件规定以外，</w:t>
      </w:r>
      <w:r>
        <w:rPr>
          <w:rFonts w:hint="eastAsia"/>
          <w:sz w:val="24"/>
        </w:rPr>
        <w:t>供应商</w:t>
      </w:r>
      <w:r>
        <w:rPr>
          <w:rFonts w:hint="eastAsia" w:asciiTheme="minorEastAsia" w:hAnsiTheme="minorEastAsia" w:eastAsiaTheme="minorEastAsia"/>
          <w:bCs/>
          <w:sz w:val="24"/>
        </w:rPr>
        <w:t>所报价格在合同实施期间不因市场变化因素而变动。</w:t>
      </w:r>
    </w:p>
    <w:p w14:paraId="365F55FA">
      <w:pPr>
        <w:spacing w:line="360" w:lineRule="auto"/>
        <w:ind w:firstLine="437"/>
        <w:outlineLvl w:val="3"/>
        <w:rPr>
          <w:rFonts w:asciiTheme="minorEastAsia" w:hAnsiTheme="minorEastAsia" w:eastAsiaTheme="minorEastAsia"/>
          <w:bCs/>
          <w:sz w:val="24"/>
        </w:rPr>
      </w:pPr>
      <w:r>
        <w:rPr>
          <w:rFonts w:hint="eastAsia" w:asciiTheme="minorEastAsia" w:hAnsiTheme="minorEastAsia" w:eastAsiaTheme="minorEastAsia"/>
          <w:bCs/>
          <w:sz w:val="24"/>
        </w:rPr>
        <w:t>18.5</w:t>
      </w:r>
      <w:r>
        <w:rPr>
          <w:rFonts w:hint="eastAsia"/>
          <w:sz w:val="24"/>
        </w:rPr>
        <w:t>供应商</w:t>
      </w:r>
      <w:r>
        <w:rPr>
          <w:rFonts w:hint="eastAsia" w:asciiTheme="minorEastAsia" w:hAnsiTheme="minorEastAsia" w:eastAsiaTheme="minorEastAsia"/>
          <w:bCs/>
          <w:sz w:val="24"/>
        </w:rPr>
        <w:t>应当按照企业定额或 2018 版安徽省建设工程计价依据以及材料市场价格信息等，结合自身实力、施工经验、现场环境以及磋商文件的要求自主报价。</w:t>
      </w:r>
    </w:p>
    <w:p w14:paraId="21BD4718">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33730503">
      <w:pPr>
        <w:spacing w:line="360" w:lineRule="auto"/>
        <w:ind w:firstLine="435"/>
        <w:rPr>
          <w:sz w:val="24"/>
        </w:rPr>
      </w:pPr>
      <w:r>
        <w:rPr>
          <w:rFonts w:hint="eastAsia"/>
          <w:sz w:val="24"/>
        </w:rPr>
        <w:t>19.1评审将在严格保密的情况下进行。</w:t>
      </w:r>
    </w:p>
    <w:p w14:paraId="59FCBB2C">
      <w:pPr>
        <w:spacing w:line="360" w:lineRule="auto"/>
        <w:ind w:firstLine="437"/>
        <w:outlineLvl w:val="3"/>
        <w:rPr>
          <w:sz w:val="24"/>
        </w:rPr>
      </w:pPr>
      <w:r>
        <w:rPr>
          <w:rFonts w:hint="eastAsia"/>
          <w:sz w:val="24"/>
        </w:rPr>
        <w:t>19.2有关人员</w:t>
      </w:r>
      <w:r>
        <w:rPr>
          <w:sz w:val="24"/>
        </w:rPr>
        <w:t>应当</w:t>
      </w:r>
      <w:r>
        <w:rPr>
          <w:rFonts w:hint="eastAsia"/>
          <w:sz w:val="24"/>
        </w:rPr>
        <w:t>遵</w:t>
      </w:r>
      <w:r>
        <w:rPr>
          <w:sz w:val="24"/>
        </w:rPr>
        <w:t>守</w:t>
      </w:r>
      <w:r>
        <w:rPr>
          <w:rFonts w:hint="eastAsia"/>
          <w:sz w:val="24"/>
        </w:rPr>
        <w:t>评审</w:t>
      </w:r>
      <w:r>
        <w:rPr>
          <w:sz w:val="24"/>
        </w:rPr>
        <w:t>工作纪律，不得</w:t>
      </w:r>
      <w:r>
        <w:rPr>
          <w:rFonts w:hint="eastAsia"/>
          <w:sz w:val="24"/>
        </w:rPr>
        <w:t>泄露评审文件</w:t>
      </w:r>
      <w:r>
        <w:rPr>
          <w:sz w:val="24"/>
        </w:rPr>
        <w:t>、</w:t>
      </w:r>
      <w:r>
        <w:rPr>
          <w:rFonts w:hint="eastAsia"/>
          <w:sz w:val="24"/>
        </w:rPr>
        <w:t>评审</w:t>
      </w:r>
      <w:r>
        <w:rPr>
          <w:sz w:val="24"/>
        </w:rPr>
        <w:t>情况和</w:t>
      </w:r>
      <w:r>
        <w:rPr>
          <w:rFonts w:hint="eastAsia"/>
          <w:sz w:val="24"/>
        </w:rPr>
        <w:t>评审</w:t>
      </w:r>
      <w:r>
        <w:rPr>
          <w:sz w:val="24"/>
        </w:rPr>
        <w:t>中获悉的</w:t>
      </w:r>
      <w:r>
        <w:rPr>
          <w:rFonts w:hint="eastAsia"/>
          <w:sz w:val="24"/>
        </w:rPr>
        <w:t>国家秘密、</w:t>
      </w:r>
      <w:r>
        <w:rPr>
          <w:sz w:val="24"/>
        </w:rPr>
        <w:t>商业秘密。</w:t>
      </w:r>
    </w:p>
    <w:p w14:paraId="1C2839B5">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成交单位候选人的确定原则及标准</w:t>
      </w:r>
    </w:p>
    <w:p w14:paraId="1343EB3A">
      <w:pPr>
        <w:spacing w:line="360" w:lineRule="auto"/>
        <w:ind w:firstLine="435"/>
        <w:rPr>
          <w:rFonts w:asciiTheme="minorEastAsia" w:hAnsiTheme="minorEastAsia" w:eastAsiaTheme="minorEastAsia"/>
          <w:sz w:val="28"/>
        </w:rPr>
      </w:pPr>
      <w:r>
        <w:rPr>
          <w:rFonts w:hint="eastAsia" w:asciiTheme="minorEastAsia" w:hAnsiTheme="minorEastAsia" w:eastAsiaTheme="minorEastAsia"/>
          <w:sz w:val="24"/>
        </w:rPr>
        <w:t>20.1磋商小组</w:t>
      </w:r>
      <w:r>
        <w:rPr>
          <w:rFonts w:asciiTheme="minorEastAsia" w:hAnsiTheme="minorEastAsia" w:eastAsiaTheme="minorEastAsia"/>
          <w:sz w:val="24"/>
        </w:rPr>
        <w:t>依据本项目</w:t>
      </w:r>
      <w:r>
        <w:rPr>
          <w:rFonts w:hint="eastAsia" w:asciiTheme="minorEastAsia" w:hAnsiTheme="minorEastAsia" w:eastAsiaTheme="minorEastAsia"/>
          <w:sz w:val="24"/>
        </w:rPr>
        <w:t>磋商</w:t>
      </w:r>
      <w:r>
        <w:rPr>
          <w:rFonts w:asciiTheme="minorEastAsia" w:hAnsiTheme="minorEastAsia" w:eastAsiaTheme="minorEastAsia"/>
          <w:sz w:val="24"/>
        </w:rPr>
        <w:t>文件所约定的</w:t>
      </w:r>
      <w:r>
        <w:rPr>
          <w:rFonts w:hint="eastAsia" w:asciiTheme="minorEastAsia" w:hAnsiTheme="minorEastAsia" w:eastAsiaTheme="minorEastAsia"/>
          <w:sz w:val="24"/>
        </w:rPr>
        <w:t>评审</w:t>
      </w:r>
      <w:r>
        <w:rPr>
          <w:rFonts w:asciiTheme="minorEastAsia" w:hAnsiTheme="minorEastAsia" w:eastAsiaTheme="minorEastAsia"/>
          <w:sz w:val="24"/>
        </w:rPr>
        <w:t>方法</w:t>
      </w:r>
      <w:r>
        <w:rPr>
          <w:rFonts w:hint="eastAsia" w:asciiTheme="minorEastAsia" w:hAnsiTheme="minorEastAsia" w:eastAsiaTheme="minorEastAsia"/>
          <w:sz w:val="24"/>
        </w:rPr>
        <w:t>和标准</w:t>
      </w:r>
      <w:r>
        <w:rPr>
          <w:rFonts w:asciiTheme="minorEastAsia" w:hAnsiTheme="minorEastAsia" w:eastAsiaTheme="minorEastAsia"/>
          <w:sz w:val="24"/>
        </w:rPr>
        <w:t>，</w:t>
      </w:r>
      <w:r>
        <w:rPr>
          <w:rFonts w:hint="eastAsia" w:asciiTheme="minorEastAsia" w:hAnsiTheme="minorEastAsia" w:eastAsiaTheme="minorEastAsia"/>
          <w:sz w:val="24"/>
        </w:rPr>
        <w:t>按照有效</w:t>
      </w:r>
      <w:r>
        <w:rPr>
          <w:rFonts w:hint="eastAsia"/>
          <w:sz w:val="24"/>
        </w:rPr>
        <w:t>供应商</w:t>
      </w:r>
      <w:r>
        <w:rPr>
          <w:rFonts w:hint="eastAsia" w:asciiTheme="minorEastAsia" w:hAnsiTheme="minorEastAsia" w:eastAsiaTheme="minorEastAsia"/>
          <w:sz w:val="24"/>
        </w:rPr>
        <w:t>综合总得分由高到低依次推荐成交候选人。综合总得分出现两家或两家以上相同者，按报价由低到高排序推荐成交候选人；综合总得分且报价均相同的，由磋商小组按照技术指标优劣顺序推荐成交候选人。</w:t>
      </w:r>
    </w:p>
    <w:p w14:paraId="3204901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确定成交单位候选人和成交单位</w:t>
      </w:r>
    </w:p>
    <w:p w14:paraId="606B8A72">
      <w:pPr>
        <w:spacing w:line="360" w:lineRule="auto"/>
        <w:ind w:firstLine="435"/>
        <w:rPr>
          <w:rFonts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.1</w:t>
      </w:r>
      <w:r>
        <w:rPr>
          <w:rFonts w:hint="eastAsia" w:asciiTheme="minorEastAsia" w:hAnsiTheme="minorEastAsia" w:eastAsiaTheme="minorEastAsia"/>
          <w:sz w:val="24"/>
        </w:rPr>
        <w:t>磋商小组根据综合评分的结果和</w:t>
      </w:r>
      <w:r>
        <w:rPr>
          <w:rFonts w:hint="eastAsia"/>
          <w:sz w:val="24"/>
        </w:rPr>
        <w:t>供应商</w:t>
      </w:r>
      <w:r>
        <w:rPr>
          <w:rFonts w:asciiTheme="minorEastAsia" w:hAnsiTheme="minorEastAsia" w:eastAsiaTheme="minorEastAsia"/>
          <w:sz w:val="24"/>
        </w:rPr>
        <w:t>须知前附表中规定</w:t>
      </w:r>
      <w:r>
        <w:rPr>
          <w:rFonts w:hint="eastAsia" w:asciiTheme="minorEastAsia" w:hAnsiTheme="minorEastAsia" w:eastAsiaTheme="minorEastAsia"/>
          <w:sz w:val="24"/>
        </w:rPr>
        <w:t>确定成交候选人，并标明排列顺序。排名第一的成交候选人经业主单位或业主单位授权的磋商小组确定为成交人后，由代理机构在指定媒体上予以公告。</w:t>
      </w:r>
    </w:p>
    <w:p w14:paraId="3D674B11">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22.编写评审报告</w:t>
      </w:r>
    </w:p>
    <w:p w14:paraId="486228B7">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Cs/>
          <w:sz w:val="24"/>
        </w:rPr>
        <w:t>22.1评审报告是根据全体磋商小组成员签字的原始评审记录和评审结果编写的报告，评审报告由磋商小组全体成员签字。对评审结论持有异议的磋商小组成员可以书面方式阐述其不同意见和理由。磋商小组成员拒绝在评审报告上签字且不陈述其不同意见和理由的，视为同意评审结论。</w:t>
      </w:r>
    </w:p>
    <w:p w14:paraId="6E520882">
      <w:pPr>
        <w:spacing w:line="360" w:lineRule="auto"/>
        <w:ind w:firstLine="437"/>
        <w:outlineLvl w:val="3"/>
        <w:rPr>
          <w:rFonts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成交候选人和成交结果公示</w:t>
      </w:r>
    </w:p>
    <w:p w14:paraId="5C635614">
      <w:pPr>
        <w:spacing w:line="360" w:lineRule="auto"/>
        <w:ind w:firstLine="435"/>
        <w:rPr>
          <w:sz w:val="24"/>
        </w:rPr>
      </w:pPr>
      <w:r>
        <w:rPr>
          <w:rFonts w:hint="eastAsia"/>
          <w:sz w:val="24"/>
        </w:rPr>
        <w:t>23.1 为体现“公开、公平、公正”的原则，磋商结束后，代理机构将在发布磋商公告的媒介上发布成交候选人公示和成交结果公示。</w:t>
      </w:r>
    </w:p>
    <w:p w14:paraId="705FE588">
      <w:pPr>
        <w:spacing w:line="360" w:lineRule="auto"/>
        <w:ind w:firstLine="435"/>
        <w:rPr>
          <w:sz w:val="24"/>
        </w:rPr>
      </w:pPr>
      <w:r>
        <w:rPr>
          <w:rFonts w:hint="eastAsia"/>
          <w:sz w:val="24"/>
        </w:rPr>
        <w:t>23.2 业主单位在收到评审报告之日起3日内，依法公示成交候选人。业主单位在确定成交人之日起3日内，依法公示成交结果。</w:t>
      </w:r>
    </w:p>
    <w:p w14:paraId="0A4FFB58">
      <w:pPr>
        <w:spacing w:line="360" w:lineRule="auto"/>
        <w:ind w:firstLine="435"/>
        <w:rPr>
          <w:b/>
          <w:bCs/>
          <w:sz w:val="24"/>
        </w:rPr>
      </w:pPr>
      <w:r>
        <w:rPr>
          <w:rFonts w:hint="eastAsia"/>
          <w:b/>
          <w:bCs/>
          <w:sz w:val="24"/>
        </w:rPr>
        <w:t>24.成交通知书</w:t>
      </w:r>
    </w:p>
    <w:p w14:paraId="79C14363">
      <w:pPr>
        <w:spacing w:line="360" w:lineRule="auto"/>
        <w:ind w:firstLine="435"/>
        <w:rPr>
          <w:sz w:val="24"/>
        </w:rPr>
      </w:pPr>
      <w:r>
        <w:rPr>
          <w:rFonts w:hint="eastAsia"/>
          <w:sz w:val="24"/>
        </w:rPr>
        <w:t>24.1代理机构发布成交结果公告的同时以供应商须知前附表规定的形式向成交人发出成交通知书。</w:t>
      </w:r>
    </w:p>
    <w:p w14:paraId="28AED30A">
      <w:pPr>
        <w:spacing w:line="360" w:lineRule="auto"/>
        <w:ind w:firstLine="435"/>
        <w:rPr>
          <w:sz w:val="24"/>
        </w:rPr>
      </w:pPr>
      <w:r>
        <w:rPr>
          <w:rFonts w:hint="eastAsia"/>
          <w:sz w:val="24"/>
        </w:rPr>
        <w:t>24.2成交通知书对业主单位和成交人具有同等法律效力。成交通知书发出以后，业主单位改变成交结果或者成交人放弃成交资格，应当承担相应的法律责任。</w:t>
      </w:r>
    </w:p>
    <w:p w14:paraId="27A92F72">
      <w:pPr>
        <w:spacing w:line="360" w:lineRule="auto"/>
        <w:ind w:firstLine="435"/>
        <w:rPr>
          <w:sz w:val="24"/>
        </w:rPr>
      </w:pPr>
      <w:r>
        <w:rPr>
          <w:rFonts w:hint="eastAsia"/>
          <w:sz w:val="24"/>
        </w:rPr>
        <w:t>24.3成交通知书是合同的组成部分。</w:t>
      </w:r>
    </w:p>
    <w:p w14:paraId="5E36C29A">
      <w:pPr>
        <w:spacing w:line="360" w:lineRule="auto"/>
        <w:ind w:firstLine="435"/>
        <w:rPr>
          <w:sz w:val="24"/>
        </w:rPr>
      </w:pPr>
      <w:r>
        <w:rPr>
          <w:rFonts w:hint="eastAsia"/>
          <w:b/>
          <w:bCs/>
          <w:sz w:val="24"/>
        </w:rPr>
        <w:t>25.告知磋商结果</w:t>
      </w:r>
    </w:p>
    <w:p w14:paraId="6D134AB6">
      <w:pPr>
        <w:spacing w:line="360" w:lineRule="auto"/>
        <w:ind w:firstLine="435"/>
        <w:rPr>
          <w:sz w:val="24"/>
        </w:rPr>
      </w:pPr>
      <w:r>
        <w:rPr>
          <w:rFonts w:hint="eastAsia"/>
          <w:sz w:val="24"/>
        </w:rPr>
        <w:t>25.1 代理机构对未成交的供应商不做未成交原因的解释。</w:t>
      </w:r>
    </w:p>
    <w:p w14:paraId="1D0A9A16">
      <w:pPr>
        <w:spacing w:line="360" w:lineRule="auto"/>
        <w:ind w:firstLine="435"/>
        <w:rPr>
          <w:b/>
          <w:bCs/>
          <w:sz w:val="24"/>
        </w:rPr>
      </w:pPr>
      <w:r>
        <w:rPr>
          <w:rFonts w:hint="eastAsia"/>
          <w:b/>
          <w:bCs/>
          <w:sz w:val="24"/>
        </w:rPr>
        <w:t>26.履约保证金</w:t>
      </w:r>
    </w:p>
    <w:p w14:paraId="3192F91D">
      <w:pPr>
        <w:spacing w:line="360" w:lineRule="auto"/>
        <w:ind w:firstLine="435"/>
        <w:rPr>
          <w:sz w:val="24"/>
        </w:rPr>
      </w:pPr>
      <w:r>
        <w:rPr>
          <w:rFonts w:hint="eastAsia"/>
          <w:sz w:val="24"/>
        </w:rPr>
        <w:t xml:space="preserve">26.1 成交人应按照供应商须知前附表规定缴纳履约保证金。 </w:t>
      </w:r>
    </w:p>
    <w:p w14:paraId="72CA7CE5">
      <w:pPr>
        <w:spacing w:line="360" w:lineRule="auto"/>
        <w:ind w:firstLine="435"/>
        <w:rPr>
          <w:sz w:val="24"/>
        </w:rPr>
      </w:pPr>
      <w:r>
        <w:rPr>
          <w:rFonts w:hint="eastAsia"/>
          <w:sz w:val="24"/>
        </w:rPr>
        <w:t>26.2 如果成交人没有按照上述履约保证金的规定执行，将视为放弃成交资格。在此情况下，业主单位可确定下一成交候选人为成交人，也可以重新开展磋商活动。</w:t>
      </w:r>
    </w:p>
    <w:p w14:paraId="5949DDFC">
      <w:pPr>
        <w:spacing w:line="360" w:lineRule="auto"/>
        <w:ind w:firstLine="435"/>
        <w:rPr>
          <w:b/>
          <w:bCs/>
          <w:sz w:val="24"/>
        </w:rPr>
      </w:pPr>
      <w:r>
        <w:rPr>
          <w:rFonts w:hint="eastAsia"/>
          <w:b/>
          <w:bCs/>
          <w:sz w:val="24"/>
        </w:rPr>
        <w:t>27.代理费</w:t>
      </w:r>
    </w:p>
    <w:p w14:paraId="287E7BF8">
      <w:pPr>
        <w:spacing w:line="360" w:lineRule="auto"/>
        <w:ind w:firstLine="435"/>
        <w:rPr>
          <w:sz w:val="24"/>
        </w:rPr>
      </w:pPr>
      <w:r>
        <w:rPr>
          <w:rFonts w:hint="eastAsia"/>
          <w:sz w:val="24"/>
        </w:rPr>
        <w:t>27.1在公告成交（成交）结果后，成交人应向</w:t>
      </w:r>
      <w:r>
        <w:rPr>
          <w:rFonts w:hint="eastAsia"/>
          <w:sz w:val="24"/>
          <w:lang w:eastAsia="zh-CN"/>
        </w:rPr>
        <w:t>肥西县派合商务服务有限公司</w:t>
      </w:r>
      <w:r>
        <w:rPr>
          <w:rFonts w:hint="eastAsia"/>
          <w:sz w:val="24"/>
        </w:rPr>
        <w:t>交纳代理费。</w:t>
      </w:r>
    </w:p>
    <w:p w14:paraId="4FAC61B9">
      <w:pPr>
        <w:spacing w:line="360" w:lineRule="auto"/>
        <w:ind w:firstLine="435"/>
        <w:rPr>
          <w:sz w:val="24"/>
        </w:rPr>
      </w:pPr>
      <w:r>
        <w:rPr>
          <w:rFonts w:hint="eastAsia"/>
          <w:sz w:val="24"/>
        </w:rPr>
        <w:t>代理费缴纳账户</w:t>
      </w:r>
    </w:p>
    <w:p w14:paraId="48B79D1C">
      <w:pPr>
        <w:spacing w:line="360" w:lineRule="auto"/>
        <w:ind w:firstLine="435"/>
        <w:rPr>
          <w:rFonts w:hint="eastAsia" w:eastAsia="宋体"/>
          <w:b/>
          <w:bCs/>
          <w:sz w:val="24"/>
          <w:lang w:eastAsia="zh-CN"/>
        </w:rPr>
      </w:pPr>
      <w:r>
        <w:rPr>
          <w:rFonts w:hint="eastAsia"/>
          <w:b/>
          <w:bCs/>
          <w:sz w:val="24"/>
        </w:rPr>
        <w:t>户名：</w:t>
      </w:r>
      <w:r>
        <w:rPr>
          <w:rFonts w:hint="eastAsia"/>
          <w:b/>
          <w:bCs/>
          <w:sz w:val="24"/>
          <w:lang w:eastAsia="zh-CN"/>
        </w:rPr>
        <w:t>肥西县派合商务服务有限公司</w:t>
      </w:r>
    </w:p>
    <w:p w14:paraId="08B0C0D0">
      <w:pPr>
        <w:spacing w:line="360" w:lineRule="auto"/>
        <w:ind w:firstLine="435"/>
        <w:rPr>
          <w:rFonts w:hint="default" w:eastAsia="宋体"/>
          <w:b/>
          <w:bCs/>
          <w:sz w:val="24"/>
          <w:lang w:val="en-US" w:eastAsia="zh-CN"/>
        </w:rPr>
      </w:pPr>
      <w:r>
        <w:rPr>
          <w:rFonts w:hint="eastAsia"/>
          <w:b/>
          <w:bCs/>
          <w:sz w:val="24"/>
        </w:rPr>
        <w:t>账号：1797</w:t>
      </w:r>
      <w:r>
        <w:rPr>
          <w:rFonts w:hint="eastAsia"/>
          <w:b/>
          <w:bCs/>
          <w:sz w:val="24"/>
          <w:lang w:val="en-US" w:eastAsia="zh-CN"/>
        </w:rPr>
        <w:t>78980759</w:t>
      </w:r>
    </w:p>
    <w:p w14:paraId="44E15C6B">
      <w:pPr>
        <w:spacing w:line="360" w:lineRule="auto"/>
        <w:ind w:firstLine="435"/>
        <w:rPr>
          <w:b/>
          <w:bCs/>
          <w:sz w:val="24"/>
        </w:rPr>
      </w:pPr>
      <w:r>
        <w:rPr>
          <w:rFonts w:hint="eastAsia"/>
          <w:b/>
          <w:bCs/>
          <w:sz w:val="24"/>
        </w:rPr>
        <w:t>开户行：中国银行股份有限公司肥西支行</w:t>
      </w:r>
    </w:p>
    <w:p w14:paraId="23CE8A30">
      <w:pPr>
        <w:widowControl/>
        <w:jc w:val="left"/>
        <w:rPr>
          <w:rFonts w:cs="宋体"/>
          <w:kern w:val="2"/>
          <w:sz w:val="24"/>
        </w:rPr>
      </w:pPr>
      <w:r>
        <w:rPr>
          <w:rFonts w:hint="eastAsia"/>
          <w:sz w:val="24"/>
        </w:rPr>
        <w:t>代理费</w:t>
      </w:r>
      <w:r>
        <w:rPr>
          <w:sz w:val="24"/>
        </w:rPr>
        <w:t>的收取</w:t>
      </w:r>
      <w:r>
        <w:rPr>
          <w:rFonts w:hint="eastAsia" w:cs="宋体"/>
          <w:sz w:val="24"/>
        </w:rPr>
        <w:t>采用差额定率累进计费方式，</w:t>
      </w:r>
      <w:r>
        <w:rPr>
          <w:rFonts w:hint="eastAsia" w:cs="宋体"/>
          <w:kern w:val="2"/>
          <w:sz w:val="24"/>
        </w:rPr>
        <w:t>具体收费标准参照关于印发《招标（采购）代理行业服务收费指导意见》的通知（合公协〔2023</w:t>
      </w:r>
      <w:r>
        <w:rPr>
          <w:rFonts w:hint="eastAsia"/>
          <w:sz w:val="24"/>
          <w:szCs w:val="24"/>
        </w:rPr>
        <w:t>〕</w:t>
      </w:r>
      <w:r>
        <w:rPr>
          <w:rFonts w:hint="eastAsia" w:cs="宋体"/>
          <w:kern w:val="2"/>
          <w:sz w:val="24"/>
        </w:rPr>
        <w:t>03号）文件收取。</w:t>
      </w:r>
    </w:p>
    <w:p w14:paraId="1B7FA6F1">
      <w:pPr>
        <w:pStyle w:val="7"/>
        <w:ind w:left="400"/>
      </w:pPr>
    </w:p>
    <w:p w14:paraId="4D60AD39">
      <w:pPr>
        <w:jc w:val="center"/>
        <w:rPr>
          <w:rStyle w:val="24"/>
          <w:rFonts w:cs="宋体"/>
          <w:sz w:val="24"/>
        </w:rPr>
      </w:pPr>
      <w:r>
        <w:rPr>
          <w:rStyle w:val="24"/>
          <w:rFonts w:hint="eastAsia" w:cs="宋体"/>
          <w:sz w:val="24"/>
        </w:rPr>
        <w:t>收费标准</w:t>
      </w:r>
    </w:p>
    <w:tbl>
      <w:tblPr>
        <w:tblStyle w:val="22"/>
        <w:tblW w:w="826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403"/>
        <w:gridCol w:w="1296"/>
        <w:gridCol w:w="1284"/>
        <w:gridCol w:w="1282"/>
      </w:tblGrid>
      <w:tr w14:paraId="1186F58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2FDB5A0">
            <w:pPr>
              <w:jc w:val="center"/>
              <w:rPr>
                <w:rFonts w:cs="宋体"/>
                <w:b/>
                <w:bCs/>
                <w:sz w:val="24"/>
              </w:rPr>
            </w:pPr>
            <w:r>
              <w:rPr>
                <w:rFonts w:hint="eastAsia" w:cs="宋体"/>
                <w:b/>
                <w:bCs/>
                <w:sz w:val="24"/>
              </w:rPr>
              <w:t>成交金额</w:t>
            </w:r>
          </w:p>
        </w:tc>
        <w:tc>
          <w:tcPr>
            <w:tcW w:w="1296" w:type="dxa"/>
            <w:tcBorders>
              <w:top w:val="single" w:color="auto" w:sz="4" w:space="0"/>
              <w:left w:val="single" w:color="auto" w:sz="4" w:space="0"/>
              <w:bottom w:val="single" w:color="auto" w:sz="4" w:space="0"/>
              <w:right w:val="single" w:color="auto" w:sz="4" w:space="0"/>
            </w:tcBorders>
            <w:vAlign w:val="center"/>
          </w:tcPr>
          <w:p w14:paraId="614AE6E1">
            <w:pPr>
              <w:jc w:val="center"/>
              <w:rPr>
                <w:rFonts w:cs="宋体"/>
                <w:b/>
                <w:bCs/>
                <w:sz w:val="24"/>
              </w:rPr>
            </w:pPr>
            <w:r>
              <w:rPr>
                <w:rFonts w:hint="eastAsia" w:cs="宋体"/>
                <w:b/>
                <w:bCs/>
                <w:sz w:val="24"/>
              </w:rPr>
              <w:t>货物</w:t>
            </w:r>
          </w:p>
        </w:tc>
        <w:tc>
          <w:tcPr>
            <w:tcW w:w="1284" w:type="dxa"/>
            <w:tcBorders>
              <w:top w:val="single" w:color="auto" w:sz="4" w:space="0"/>
              <w:left w:val="single" w:color="auto" w:sz="4" w:space="0"/>
              <w:bottom w:val="single" w:color="auto" w:sz="4" w:space="0"/>
              <w:right w:val="single" w:color="auto" w:sz="4" w:space="0"/>
            </w:tcBorders>
            <w:vAlign w:val="center"/>
          </w:tcPr>
          <w:p w14:paraId="53BD25B3">
            <w:pPr>
              <w:jc w:val="center"/>
              <w:rPr>
                <w:rFonts w:cs="宋体"/>
                <w:b/>
                <w:bCs/>
                <w:sz w:val="24"/>
              </w:rPr>
            </w:pPr>
            <w:r>
              <w:rPr>
                <w:rFonts w:hint="eastAsia" w:cs="宋体"/>
                <w:b/>
                <w:bCs/>
                <w:sz w:val="24"/>
              </w:rPr>
              <w:t>服务</w:t>
            </w:r>
          </w:p>
        </w:tc>
        <w:tc>
          <w:tcPr>
            <w:tcW w:w="1282" w:type="dxa"/>
            <w:tcBorders>
              <w:top w:val="single" w:color="auto" w:sz="4" w:space="0"/>
              <w:left w:val="single" w:color="auto" w:sz="4" w:space="0"/>
              <w:bottom w:val="single" w:color="auto" w:sz="4" w:space="0"/>
            </w:tcBorders>
            <w:vAlign w:val="center"/>
          </w:tcPr>
          <w:p w14:paraId="1F0330D8">
            <w:pPr>
              <w:jc w:val="center"/>
              <w:rPr>
                <w:rFonts w:cs="宋体"/>
                <w:b/>
                <w:bCs/>
                <w:sz w:val="24"/>
              </w:rPr>
            </w:pPr>
            <w:r>
              <w:rPr>
                <w:rFonts w:hint="eastAsia" w:cs="宋体"/>
                <w:b/>
                <w:bCs/>
                <w:sz w:val="24"/>
              </w:rPr>
              <w:t>工程</w:t>
            </w:r>
          </w:p>
        </w:tc>
      </w:tr>
      <w:tr w14:paraId="08CB71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38FBFB1F">
            <w:pPr>
              <w:jc w:val="center"/>
              <w:rPr>
                <w:rFonts w:cs="宋体"/>
                <w:bCs/>
                <w:sz w:val="24"/>
              </w:rPr>
            </w:pPr>
            <w:r>
              <w:rPr>
                <w:rFonts w:cs="宋体"/>
                <w:bCs/>
                <w:sz w:val="24"/>
              </w:rPr>
              <w:t>100</w:t>
            </w:r>
            <w:r>
              <w:rPr>
                <w:rFonts w:hint="eastAsia" w:cs="宋体"/>
                <w:bCs/>
                <w:sz w:val="24"/>
              </w:rPr>
              <w:t>万元以下</w:t>
            </w:r>
          </w:p>
        </w:tc>
        <w:tc>
          <w:tcPr>
            <w:tcW w:w="1296" w:type="dxa"/>
            <w:tcBorders>
              <w:top w:val="single" w:color="auto" w:sz="4" w:space="0"/>
              <w:left w:val="single" w:color="auto" w:sz="4" w:space="0"/>
              <w:bottom w:val="single" w:color="auto" w:sz="4" w:space="0"/>
              <w:right w:val="single" w:color="auto" w:sz="4" w:space="0"/>
            </w:tcBorders>
            <w:vAlign w:val="center"/>
          </w:tcPr>
          <w:p w14:paraId="6799A5C4">
            <w:pPr>
              <w:jc w:val="center"/>
              <w:rPr>
                <w:rFonts w:cs="宋体"/>
                <w:bCs/>
                <w:sz w:val="24"/>
              </w:rPr>
            </w:pPr>
            <w:r>
              <w:rPr>
                <w:rFonts w:cs="宋体"/>
                <w:bCs/>
                <w:sz w:val="24"/>
              </w:rPr>
              <w:t>1.</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20D96FDB">
            <w:pPr>
              <w:jc w:val="center"/>
              <w:rPr>
                <w:rFonts w:cs="宋体"/>
                <w:bCs/>
                <w:sz w:val="24"/>
              </w:rPr>
            </w:pPr>
            <w:r>
              <w:rPr>
                <w:rFonts w:cs="宋体"/>
                <w:bCs/>
                <w:sz w:val="24"/>
              </w:rPr>
              <w:t>1.</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56ED709A">
            <w:pPr>
              <w:jc w:val="center"/>
              <w:rPr>
                <w:rFonts w:cs="宋体"/>
                <w:bCs/>
                <w:sz w:val="24"/>
              </w:rPr>
            </w:pPr>
            <w:r>
              <w:rPr>
                <w:rFonts w:hint="eastAsia" w:cs="宋体"/>
                <w:bCs/>
                <w:sz w:val="24"/>
              </w:rPr>
              <w:t>1.0</w:t>
            </w:r>
            <w:r>
              <w:rPr>
                <w:rFonts w:cs="宋体"/>
                <w:bCs/>
                <w:sz w:val="24"/>
              </w:rPr>
              <w:t>%</w:t>
            </w:r>
          </w:p>
        </w:tc>
      </w:tr>
      <w:tr w14:paraId="786F2C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0D97EC3B">
            <w:pPr>
              <w:jc w:val="center"/>
              <w:rPr>
                <w:rFonts w:cs="宋体"/>
                <w:bCs/>
                <w:sz w:val="24"/>
              </w:rPr>
            </w:pPr>
            <w:r>
              <w:rPr>
                <w:rFonts w:cs="宋体"/>
                <w:bCs/>
                <w:sz w:val="24"/>
              </w:rPr>
              <w:t>100</w:t>
            </w:r>
            <w:r>
              <w:rPr>
                <w:rFonts w:hint="eastAsia" w:cs="宋体"/>
                <w:bCs/>
                <w:sz w:val="24"/>
              </w:rPr>
              <w:t>万元</w:t>
            </w:r>
            <w:r>
              <w:rPr>
                <w:rFonts w:cs="宋体"/>
                <w:bCs/>
                <w:sz w:val="24"/>
              </w:rPr>
              <w:t>-500</w:t>
            </w:r>
            <w:r>
              <w:rPr>
                <w:rFonts w:hint="eastAsia" w:cs="宋体"/>
                <w:bCs/>
                <w:sz w:val="24"/>
              </w:rPr>
              <w:t>万元（含500万元）</w:t>
            </w:r>
          </w:p>
        </w:tc>
        <w:tc>
          <w:tcPr>
            <w:tcW w:w="1296" w:type="dxa"/>
            <w:tcBorders>
              <w:top w:val="single" w:color="auto" w:sz="4" w:space="0"/>
              <w:left w:val="single" w:color="auto" w:sz="4" w:space="0"/>
              <w:bottom w:val="single" w:color="auto" w:sz="4" w:space="0"/>
              <w:right w:val="single" w:color="auto" w:sz="4" w:space="0"/>
            </w:tcBorders>
            <w:vAlign w:val="center"/>
          </w:tcPr>
          <w:p w14:paraId="5EA2B027">
            <w:pPr>
              <w:jc w:val="center"/>
              <w:rPr>
                <w:rFonts w:cs="宋体"/>
                <w:bCs/>
                <w:sz w:val="24"/>
              </w:rPr>
            </w:pPr>
            <w:r>
              <w:rPr>
                <w:rFonts w:hint="eastAsia" w:cs="宋体"/>
                <w:bCs/>
                <w:sz w:val="24"/>
              </w:rPr>
              <w:t>1</w:t>
            </w:r>
            <w:r>
              <w:rPr>
                <w:rFonts w:cs="宋体"/>
                <w:bCs/>
                <w:sz w:val="24"/>
              </w:rPr>
              <w:t>.</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078E855">
            <w:pPr>
              <w:jc w:val="center"/>
              <w:rPr>
                <w:rFonts w:cs="宋体"/>
                <w:bCs/>
                <w:sz w:val="24"/>
              </w:rPr>
            </w:pPr>
            <w:r>
              <w:rPr>
                <w:rFonts w:cs="宋体"/>
                <w:bCs/>
                <w:sz w:val="24"/>
              </w:rPr>
              <w:t>0.</w:t>
            </w:r>
            <w:r>
              <w:rPr>
                <w:rFonts w:hint="eastAsia" w:cs="宋体"/>
                <w:bCs/>
                <w:sz w:val="24"/>
              </w:rPr>
              <w:t>8</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3979E289">
            <w:pPr>
              <w:jc w:val="center"/>
              <w:rPr>
                <w:rFonts w:cs="宋体"/>
                <w:bCs/>
                <w:sz w:val="24"/>
              </w:rPr>
            </w:pPr>
            <w:r>
              <w:rPr>
                <w:rFonts w:cs="宋体"/>
                <w:bCs/>
                <w:sz w:val="24"/>
              </w:rPr>
              <w:t>0.</w:t>
            </w:r>
            <w:r>
              <w:rPr>
                <w:rFonts w:hint="eastAsia" w:cs="宋体"/>
                <w:bCs/>
                <w:sz w:val="24"/>
              </w:rPr>
              <w:t>7</w:t>
            </w:r>
            <w:r>
              <w:rPr>
                <w:rFonts w:cs="宋体"/>
                <w:bCs/>
                <w:sz w:val="24"/>
              </w:rPr>
              <w:t>%</w:t>
            </w:r>
          </w:p>
        </w:tc>
      </w:tr>
      <w:tr w14:paraId="30AFF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12D4882">
            <w:pPr>
              <w:jc w:val="center"/>
              <w:rPr>
                <w:rFonts w:cs="宋体"/>
                <w:bCs/>
                <w:sz w:val="24"/>
              </w:rPr>
            </w:pPr>
            <w:r>
              <w:rPr>
                <w:rFonts w:cs="宋体"/>
                <w:bCs/>
                <w:sz w:val="24"/>
              </w:rPr>
              <w:t>500</w:t>
            </w:r>
            <w:r>
              <w:rPr>
                <w:rFonts w:hint="eastAsia" w:cs="宋体"/>
                <w:bCs/>
                <w:sz w:val="24"/>
              </w:rPr>
              <w:t>万元</w:t>
            </w:r>
            <w:r>
              <w:rPr>
                <w:rFonts w:cs="宋体"/>
                <w:bCs/>
                <w:sz w:val="24"/>
              </w:rPr>
              <w:t>-1000</w:t>
            </w:r>
            <w:r>
              <w:rPr>
                <w:rFonts w:hint="eastAsia" w:cs="宋体"/>
                <w:bCs/>
                <w:sz w:val="24"/>
              </w:rPr>
              <w:t>万元（含1000万元）</w:t>
            </w:r>
          </w:p>
        </w:tc>
        <w:tc>
          <w:tcPr>
            <w:tcW w:w="1296" w:type="dxa"/>
            <w:tcBorders>
              <w:top w:val="single" w:color="auto" w:sz="4" w:space="0"/>
              <w:left w:val="single" w:color="auto" w:sz="4" w:space="0"/>
              <w:bottom w:val="single" w:color="auto" w:sz="4" w:space="0"/>
              <w:right w:val="single" w:color="auto" w:sz="4" w:space="0"/>
            </w:tcBorders>
            <w:vAlign w:val="center"/>
          </w:tcPr>
          <w:p w14:paraId="7E90B152">
            <w:pPr>
              <w:jc w:val="center"/>
              <w:rPr>
                <w:rFonts w:cs="宋体"/>
                <w:bCs/>
                <w:sz w:val="24"/>
              </w:rPr>
            </w:pPr>
            <w:r>
              <w:rPr>
                <w:rFonts w:cs="宋体"/>
                <w:bCs/>
                <w:sz w:val="24"/>
              </w:rPr>
              <w:t>0.</w:t>
            </w:r>
            <w:r>
              <w:rPr>
                <w:rFonts w:hint="eastAsia" w:cs="宋体"/>
                <w:bCs/>
                <w:sz w:val="24"/>
              </w:rPr>
              <w:t>8</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3ACA30F9">
            <w:pPr>
              <w:jc w:val="center"/>
              <w:rPr>
                <w:rFonts w:cs="宋体"/>
                <w:bCs/>
                <w:sz w:val="24"/>
              </w:rPr>
            </w:pPr>
            <w:r>
              <w:rPr>
                <w:rFonts w:cs="宋体"/>
                <w:bCs/>
                <w:sz w:val="24"/>
              </w:rPr>
              <w:t>0.</w:t>
            </w:r>
            <w:r>
              <w:rPr>
                <w:rFonts w:hint="eastAsia" w:cs="宋体"/>
                <w:bCs/>
                <w:sz w:val="24"/>
              </w:rPr>
              <w:t>45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43C4E168">
            <w:pPr>
              <w:jc w:val="center"/>
              <w:rPr>
                <w:rFonts w:cs="宋体"/>
                <w:bCs/>
                <w:sz w:val="24"/>
              </w:rPr>
            </w:pPr>
            <w:r>
              <w:rPr>
                <w:rFonts w:cs="宋体"/>
                <w:bCs/>
                <w:sz w:val="24"/>
              </w:rPr>
              <w:t>0.</w:t>
            </w:r>
            <w:r>
              <w:rPr>
                <w:rFonts w:hint="eastAsia" w:cs="宋体"/>
                <w:bCs/>
                <w:sz w:val="24"/>
              </w:rPr>
              <w:t>55</w:t>
            </w:r>
            <w:r>
              <w:rPr>
                <w:rFonts w:cs="宋体"/>
                <w:bCs/>
                <w:sz w:val="24"/>
              </w:rPr>
              <w:t>%</w:t>
            </w:r>
          </w:p>
        </w:tc>
      </w:tr>
      <w:tr w14:paraId="69D192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E87333A">
            <w:pPr>
              <w:jc w:val="center"/>
              <w:rPr>
                <w:rFonts w:cs="宋体"/>
                <w:bCs/>
                <w:sz w:val="24"/>
              </w:rPr>
            </w:pPr>
            <w:r>
              <w:rPr>
                <w:rFonts w:cs="宋体"/>
                <w:bCs/>
                <w:sz w:val="24"/>
              </w:rPr>
              <w:t>1000</w:t>
            </w:r>
            <w:r>
              <w:rPr>
                <w:rFonts w:hint="eastAsia" w:cs="宋体"/>
                <w:bCs/>
                <w:sz w:val="24"/>
              </w:rPr>
              <w:t>万元</w:t>
            </w:r>
            <w:r>
              <w:rPr>
                <w:rFonts w:cs="宋体"/>
                <w:bCs/>
                <w:sz w:val="24"/>
              </w:rPr>
              <w:t>-5000</w:t>
            </w:r>
            <w:r>
              <w:rPr>
                <w:rFonts w:hint="eastAsia" w:cs="宋体"/>
                <w:bCs/>
                <w:sz w:val="24"/>
              </w:rPr>
              <w:t>万元（含5000万元）</w:t>
            </w:r>
          </w:p>
        </w:tc>
        <w:tc>
          <w:tcPr>
            <w:tcW w:w="1296" w:type="dxa"/>
            <w:tcBorders>
              <w:top w:val="single" w:color="auto" w:sz="4" w:space="0"/>
              <w:left w:val="single" w:color="auto" w:sz="4" w:space="0"/>
              <w:bottom w:val="single" w:color="auto" w:sz="4" w:space="0"/>
              <w:right w:val="single" w:color="auto" w:sz="4" w:space="0"/>
            </w:tcBorders>
            <w:vAlign w:val="center"/>
          </w:tcPr>
          <w:p w14:paraId="6693EB5C">
            <w:pPr>
              <w:jc w:val="center"/>
              <w:rPr>
                <w:rFonts w:cs="宋体"/>
                <w:bCs/>
                <w:sz w:val="24"/>
              </w:rPr>
            </w:pPr>
            <w:r>
              <w:rPr>
                <w:rFonts w:cs="宋体"/>
                <w:bCs/>
                <w:sz w:val="24"/>
              </w:rPr>
              <w:t>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43FF2C7F">
            <w:pPr>
              <w:jc w:val="center"/>
              <w:rPr>
                <w:rFonts w:cs="宋体"/>
                <w:bCs/>
                <w:sz w:val="24"/>
              </w:rPr>
            </w:pPr>
            <w:r>
              <w:rPr>
                <w:rFonts w:cs="宋体"/>
                <w:bCs/>
                <w:sz w:val="24"/>
              </w:rPr>
              <w:t>0.2</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4618FC68">
            <w:pPr>
              <w:jc w:val="center"/>
              <w:rPr>
                <w:rFonts w:cs="宋体"/>
                <w:bCs/>
                <w:sz w:val="24"/>
              </w:rPr>
            </w:pPr>
            <w:r>
              <w:rPr>
                <w:rFonts w:cs="宋体"/>
                <w:bCs/>
                <w:sz w:val="24"/>
              </w:rPr>
              <w:t>0.</w:t>
            </w:r>
            <w:r>
              <w:rPr>
                <w:rFonts w:hint="eastAsia" w:cs="宋体"/>
                <w:bCs/>
                <w:sz w:val="24"/>
              </w:rPr>
              <w:t>35</w:t>
            </w:r>
            <w:r>
              <w:rPr>
                <w:rFonts w:cs="宋体"/>
                <w:bCs/>
                <w:sz w:val="24"/>
              </w:rPr>
              <w:t>%</w:t>
            </w:r>
          </w:p>
        </w:tc>
      </w:tr>
      <w:tr w14:paraId="139DFC5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77CB4C72">
            <w:pPr>
              <w:jc w:val="center"/>
              <w:rPr>
                <w:rFonts w:cs="宋体"/>
                <w:bCs/>
                <w:sz w:val="24"/>
              </w:rPr>
            </w:pPr>
            <w:r>
              <w:rPr>
                <w:rFonts w:cs="宋体"/>
                <w:bCs/>
                <w:sz w:val="24"/>
              </w:rPr>
              <w:t>5000</w:t>
            </w:r>
            <w:r>
              <w:rPr>
                <w:rFonts w:hint="eastAsia" w:cs="宋体"/>
                <w:bCs/>
                <w:sz w:val="24"/>
              </w:rPr>
              <w:t>万元</w:t>
            </w:r>
            <w:r>
              <w:rPr>
                <w:rFonts w:cs="宋体"/>
                <w:bCs/>
                <w:sz w:val="24"/>
              </w:rPr>
              <w:t>-1</w:t>
            </w:r>
            <w:r>
              <w:rPr>
                <w:rFonts w:hint="eastAsia" w:cs="宋体"/>
                <w:bCs/>
                <w:sz w:val="24"/>
              </w:rPr>
              <w:t>亿元（含</w:t>
            </w:r>
            <w:r>
              <w:rPr>
                <w:rFonts w:cs="宋体"/>
                <w:bCs/>
                <w:sz w:val="24"/>
              </w:rPr>
              <w:t>1</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1BED62AF">
            <w:pPr>
              <w:jc w:val="center"/>
              <w:rPr>
                <w:rFonts w:cs="宋体"/>
                <w:bCs/>
                <w:sz w:val="24"/>
              </w:rPr>
            </w:pPr>
            <w:r>
              <w:rPr>
                <w:rFonts w:cs="宋体"/>
                <w:bCs/>
                <w:sz w:val="24"/>
              </w:rPr>
              <w:t>0.2</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4127221B">
            <w:pPr>
              <w:jc w:val="center"/>
              <w:rPr>
                <w:rFonts w:cs="宋体"/>
                <w:bCs/>
                <w:sz w:val="24"/>
              </w:rPr>
            </w:pPr>
            <w:r>
              <w:rPr>
                <w:rFonts w:cs="宋体"/>
                <w:bCs/>
                <w:sz w:val="24"/>
              </w:rPr>
              <w:t>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46ED88D1">
            <w:pPr>
              <w:jc w:val="center"/>
              <w:rPr>
                <w:rFonts w:cs="宋体"/>
                <w:bCs/>
                <w:sz w:val="24"/>
              </w:rPr>
            </w:pPr>
            <w:r>
              <w:rPr>
                <w:rFonts w:cs="宋体"/>
                <w:bCs/>
                <w:sz w:val="24"/>
              </w:rPr>
              <w:t>0.</w:t>
            </w:r>
            <w:r>
              <w:rPr>
                <w:rFonts w:hint="eastAsia" w:cs="宋体"/>
                <w:bCs/>
                <w:sz w:val="24"/>
              </w:rPr>
              <w:t>2</w:t>
            </w:r>
            <w:r>
              <w:rPr>
                <w:rFonts w:cs="宋体"/>
                <w:bCs/>
                <w:sz w:val="24"/>
              </w:rPr>
              <w:t>%</w:t>
            </w:r>
          </w:p>
        </w:tc>
      </w:tr>
      <w:tr w14:paraId="5687AB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0EDC6DB">
            <w:pPr>
              <w:jc w:val="center"/>
              <w:rPr>
                <w:rFonts w:cs="宋体"/>
                <w:bCs/>
                <w:sz w:val="24"/>
              </w:rPr>
            </w:pPr>
            <w:r>
              <w:rPr>
                <w:rFonts w:cs="宋体"/>
                <w:bCs/>
                <w:sz w:val="24"/>
              </w:rPr>
              <w:t>1</w:t>
            </w:r>
            <w:r>
              <w:rPr>
                <w:rFonts w:hint="eastAsia" w:cs="宋体"/>
                <w:bCs/>
                <w:sz w:val="24"/>
              </w:rPr>
              <w:t>亿元</w:t>
            </w:r>
            <w:r>
              <w:rPr>
                <w:rFonts w:cs="宋体"/>
                <w:bCs/>
                <w:sz w:val="24"/>
              </w:rPr>
              <w:t>-10</w:t>
            </w:r>
            <w:r>
              <w:rPr>
                <w:rFonts w:hint="eastAsia" w:cs="宋体"/>
                <w:bCs/>
                <w:sz w:val="24"/>
              </w:rPr>
              <w:t>亿元</w:t>
            </w:r>
          </w:p>
        </w:tc>
        <w:tc>
          <w:tcPr>
            <w:tcW w:w="1296" w:type="dxa"/>
            <w:tcBorders>
              <w:top w:val="single" w:color="auto" w:sz="4" w:space="0"/>
              <w:left w:val="single" w:color="auto" w:sz="4" w:space="0"/>
              <w:bottom w:val="single" w:color="auto" w:sz="4" w:space="0"/>
              <w:right w:val="single" w:color="auto" w:sz="4" w:space="0"/>
            </w:tcBorders>
            <w:vAlign w:val="center"/>
          </w:tcPr>
          <w:p w14:paraId="12576586">
            <w:pPr>
              <w:jc w:val="center"/>
              <w:rPr>
                <w:rFonts w:cs="宋体"/>
                <w:bCs/>
                <w:sz w:val="24"/>
              </w:rPr>
            </w:pPr>
            <w:r>
              <w:rPr>
                <w:rFonts w:cs="宋体"/>
                <w:bCs/>
                <w:sz w:val="24"/>
              </w:rPr>
              <w:t>0.0</w:t>
            </w:r>
            <w:r>
              <w:rPr>
                <w:rFonts w:hint="eastAsia" w:cs="宋体"/>
                <w:bCs/>
                <w:sz w:val="24"/>
              </w:rPr>
              <w:t>5</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48D9D15F">
            <w:pPr>
              <w:jc w:val="center"/>
              <w:rPr>
                <w:rFonts w:cs="宋体"/>
                <w:bCs/>
                <w:sz w:val="24"/>
              </w:rPr>
            </w:pPr>
            <w:r>
              <w:rPr>
                <w:rFonts w:cs="宋体"/>
                <w:bCs/>
                <w:sz w:val="24"/>
              </w:rPr>
              <w:t>0.0</w:t>
            </w:r>
            <w:r>
              <w:rPr>
                <w:rFonts w:hint="eastAsia" w:cs="宋体"/>
                <w:bCs/>
                <w:sz w:val="24"/>
              </w:rPr>
              <w:t>5</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689645EB">
            <w:pPr>
              <w:jc w:val="center"/>
              <w:rPr>
                <w:rFonts w:cs="宋体"/>
                <w:bCs/>
                <w:sz w:val="24"/>
              </w:rPr>
            </w:pPr>
            <w:r>
              <w:rPr>
                <w:rFonts w:cs="宋体"/>
                <w:bCs/>
                <w:sz w:val="24"/>
              </w:rPr>
              <w:t>0.0</w:t>
            </w:r>
            <w:r>
              <w:rPr>
                <w:rFonts w:hint="eastAsia" w:cs="宋体"/>
                <w:bCs/>
                <w:sz w:val="24"/>
              </w:rPr>
              <w:t>5</w:t>
            </w:r>
            <w:r>
              <w:rPr>
                <w:rFonts w:cs="宋体"/>
                <w:bCs/>
                <w:sz w:val="24"/>
              </w:rPr>
              <w:t>%</w:t>
            </w:r>
          </w:p>
        </w:tc>
      </w:tr>
      <w:tr w14:paraId="526F5F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4403" w:type="dxa"/>
            <w:tcBorders>
              <w:top w:val="single" w:color="auto" w:sz="4" w:space="0"/>
              <w:bottom w:val="single" w:color="auto" w:sz="4" w:space="0"/>
              <w:right w:val="single" w:color="auto" w:sz="4" w:space="0"/>
            </w:tcBorders>
            <w:vAlign w:val="center"/>
          </w:tcPr>
          <w:p w14:paraId="4C075529">
            <w:pPr>
              <w:jc w:val="center"/>
              <w:rPr>
                <w:rFonts w:cs="宋体"/>
                <w:bCs/>
                <w:sz w:val="24"/>
              </w:rPr>
            </w:pPr>
            <w:r>
              <w:rPr>
                <w:rFonts w:cs="宋体"/>
                <w:bCs/>
                <w:sz w:val="24"/>
              </w:rPr>
              <w:t>10</w:t>
            </w:r>
            <w:r>
              <w:rPr>
                <w:rFonts w:hint="eastAsia" w:cs="宋体"/>
                <w:bCs/>
                <w:sz w:val="24"/>
              </w:rPr>
              <w:t>亿以上</w:t>
            </w:r>
          </w:p>
        </w:tc>
        <w:tc>
          <w:tcPr>
            <w:tcW w:w="1296" w:type="dxa"/>
            <w:tcBorders>
              <w:top w:val="single" w:color="auto" w:sz="4" w:space="0"/>
              <w:left w:val="single" w:color="auto" w:sz="4" w:space="0"/>
              <w:bottom w:val="single" w:color="auto" w:sz="4" w:space="0"/>
              <w:right w:val="single" w:color="auto" w:sz="4" w:space="0"/>
            </w:tcBorders>
            <w:vAlign w:val="center"/>
          </w:tcPr>
          <w:p w14:paraId="26F2C9D1">
            <w:pPr>
              <w:jc w:val="center"/>
              <w:rPr>
                <w:rFonts w:cs="宋体"/>
                <w:bCs/>
                <w:sz w:val="24"/>
              </w:rPr>
            </w:pPr>
            <w:r>
              <w:rPr>
                <w:rFonts w:cs="宋体"/>
                <w:bCs/>
                <w:sz w:val="24"/>
              </w:rPr>
              <w:t>0.0</w:t>
            </w:r>
            <w:r>
              <w:rPr>
                <w:rFonts w:hint="eastAsia" w:cs="宋体"/>
                <w:bCs/>
                <w:sz w:val="24"/>
              </w:rPr>
              <w:t>1</w:t>
            </w:r>
            <w:r>
              <w:rPr>
                <w:rFonts w:cs="宋体"/>
                <w:bCs/>
                <w:sz w:val="24"/>
              </w:rPr>
              <w:t>%</w:t>
            </w:r>
          </w:p>
        </w:tc>
        <w:tc>
          <w:tcPr>
            <w:tcW w:w="1284" w:type="dxa"/>
            <w:tcBorders>
              <w:top w:val="single" w:color="auto" w:sz="4" w:space="0"/>
              <w:left w:val="single" w:color="auto" w:sz="4" w:space="0"/>
              <w:bottom w:val="single" w:color="auto" w:sz="4" w:space="0"/>
              <w:right w:val="single" w:color="auto" w:sz="4" w:space="0"/>
            </w:tcBorders>
            <w:vAlign w:val="center"/>
          </w:tcPr>
          <w:p w14:paraId="55A1B1D7">
            <w:pPr>
              <w:jc w:val="center"/>
              <w:rPr>
                <w:rFonts w:cs="宋体"/>
                <w:bCs/>
                <w:sz w:val="24"/>
              </w:rPr>
            </w:pPr>
            <w:r>
              <w:rPr>
                <w:rFonts w:cs="宋体"/>
                <w:bCs/>
                <w:sz w:val="24"/>
              </w:rPr>
              <w:t>0.0</w:t>
            </w:r>
            <w:r>
              <w:rPr>
                <w:rFonts w:hint="eastAsia" w:cs="宋体"/>
                <w:bCs/>
                <w:sz w:val="24"/>
              </w:rPr>
              <w:t>1</w:t>
            </w:r>
            <w:r>
              <w:rPr>
                <w:rFonts w:cs="宋体"/>
                <w:bCs/>
                <w:sz w:val="24"/>
              </w:rPr>
              <w:t>%</w:t>
            </w:r>
          </w:p>
        </w:tc>
        <w:tc>
          <w:tcPr>
            <w:tcW w:w="1282" w:type="dxa"/>
            <w:tcBorders>
              <w:top w:val="single" w:color="auto" w:sz="4" w:space="0"/>
              <w:left w:val="single" w:color="auto" w:sz="4" w:space="0"/>
              <w:bottom w:val="single" w:color="auto" w:sz="4" w:space="0"/>
            </w:tcBorders>
            <w:vAlign w:val="center"/>
          </w:tcPr>
          <w:p w14:paraId="74D752B9">
            <w:pPr>
              <w:jc w:val="center"/>
              <w:rPr>
                <w:rFonts w:cs="宋体"/>
                <w:bCs/>
                <w:sz w:val="24"/>
              </w:rPr>
            </w:pPr>
            <w:r>
              <w:rPr>
                <w:rFonts w:cs="宋体"/>
                <w:bCs/>
                <w:sz w:val="24"/>
              </w:rPr>
              <w:t>0.0</w:t>
            </w:r>
            <w:r>
              <w:rPr>
                <w:rFonts w:hint="eastAsia" w:cs="宋体"/>
                <w:bCs/>
                <w:sz w:val="24"/>
              </w:rPr>
              <w:t>1</w:t>
            </w:r>
            <w:r>
              <w:rPr>
                <w:rFonts w:cs="宋体"/>
                <w:bCs/>
                <w:sz w:val="24"/>
              </w:rPr>
              <w:t>%</w:t>
            </w:r>
          </w:p>
        </w:tc>
      </w:tr>
    </w:tbl>
    <w:p w14:paraId="3B5E0E87">
      <w:pPr>
        <w:pStyle w:val="6"/>
      </w:pPr>
    </w:p>
    <w:p w14:paraId="0CF7DCA2">
      <w:pPr>
        <w:spacing w:line="360" w:lineRule="auto"/>
        <w:ind w:firstLine="435"/>
        <w:rPr>
          <w:b/>
          <w:bCs/>
          <w:sz w:val="24"/>
        </w:rPr>
      </w:pPr>
      <w:r>
        <w:rPr>
          <w:rFonts w:hint="eastAsia"/>
          <w:b/>
          <w:bCs/>
          <w:sz w:val="24"/>
        </w:rPr>
        <w:t>28.签订合同</w:t>
      </w:r>
    </w:p>
    <w:p w14:paraId="2474CF99">
      <w:pPr>
        <w:spacing w:line="360" w:lineRule="auto"/>
        <w:ind w:firstLine="435"/>
        <w:rPr>
          <w:sz w:val="24"/>
        </w:rPr>
      </w:pPr>
      <w:r>
        <w:rPr>
          <w:rFonts w:hint="eastAsia"/>
          <w:sz w:val="24"/>
        </w:rPr>
        <w:t>28.1业主单位与成交人应当自发出成交通知书之日起30日内签订合同。</w:t>
      </w:r>
    </w:p>
    <w:p w14:paraId="4639B285">
      <w:pPr>
        <w:spacing w:line="360" w:lineRule="auto"/>
        <w:ind w:firstLine="435"/>
        <w:rPr>
          <w:sz w:val="24"/>
        </w:rPr>
      </w:pPr>
      <w:r>
        <w:rPr>
          <w:rFonts w:hint="eastAsia"/>
          <w:sz w:val="24"/>
        </w:rPr>
        <w:t>28.2磋商文件、成交人的响应文件及其澄清文件等，均为签订合同的依据。</w:t>
      </w:r>
    </w:p>
    <w:p w14:paraId="57D1F9DE">
      <w:pPr>
        <w:spacing w:line="360" w:lineRule="auto"/>
        <w:ind w:firstLine="435"/>
        <w:rPr>
          <w:sz w:val="24"/>
        </w:rPr>
      </w:pPr>
      <w:r>
        <w:rPr>
          <w:rFonts w:hint="eastAsia"/>
          <w:sz w:val="24"/>
        </w:rPr>
        <w:t>28.3成交人拒绝与业主单位签订合同的，业主单位可以按照评审报告推荐的成交候选人名单排序，确定下一成交候选人为成交人，也可以重新开展磋商活动。成交人拒绝签订合同的不得参加对该项目重新开展的磋商活动。</w:t>
      </w:r>
    </w:p>
    <w:p w14:paraId="1F79E325">
      <w:pPr>
        <w:spacing w:line="360" w:lineRule="auto"/>
        <w:ind w:firstLine="435"/>
        <w:rPr>
          <w:b/>
          <w:bCs/>
          <w:sz w:val="24"/>
        </w:rPr>
      </w:pPr>
      <w:r>
        <w:rPr>
          <w:rFonts w:hint="eastAsia"/>
          <w:b/>
          <w:bCs/>
          <w:sz w:val="24"/>
        </w:rPr>
        <w:t>29.廉洁自律规定</w:t>
      </w:r>
    </w:p>
    <w:p w14:paraId="56DCB19D">
      <w:pPr>
        <w:spacing w:line="360" w:lineRule="auto"/>
        <w:ind w:firstLine="435"/>
        <w:rPr>
          <w:sz w:val="24"/>
        </w:rPr>
      </w:pPr>
      <w:r>
        <w:rPr>
          <w:rFonts w:hint="eastAsia"/>
          <w:sz w:val="24"/>
        </w:rPr>
        <w:t>29.1代理机构工作人员不得以不正当手段获取代理业务，不得与业主单位、供应商恶意串通。</w:t>
      </w:r>
    </w:p>
    <w:p w14:paraId="40F4D7AE">
      <w:pPr>
        <w:spacing w:line="360" w:lineRule="auto"/>
        <w:ind w:firstLine="435"/>
        <w:rPr>
          <w:sz w:val="24"/>
        </w:rPr>
      </w:pPr>
      <w:r>
        <w:rPr>
          <w:rFonts w:hint="eastAsia"/>
          <w:sz w:val="24"/>
        </w:rPr>
        <w:t>29.2代理机构工作人员不得接受业主单位或者供应商组织的宴请、旅游、娱乐，不得收受礼品、现金、有价证券等，不得向业主单位或者供应商报销应当由个人承担的费用。</w:t>
      </w:r>
    </w:p>
    <w:p w14:paraId="2AA2BF9D">
      <w:pPr>
        <w:spacing w:line="360" w:lineRule="auto"/>
        <w:ind w:firstLine="435"/>
        <w:rPr>
          <w:b/>
          <w:bCs/>
          <w:sz w:val="24"/>
        </w:rPr>
      </w:pPr>
      <w:r>
        <w:rPr>
          <w:rFonts w:hint="eastAsia"/>
          <w:b/>
          <w:bCs/>
          <w:sz w:val="24"/>
        </w:rPr>
        <w:t>30.异议的提出与接收</w:t>
      </w:r>
    </w:p>
    <w:p w14:paraId="618561E2">
      <w:pPr>
        <w:spacing w:line="360" w:lineRule="auto"/>
        <w:ind w:firstLine="435"/>
        <w:rPr>
          <w:sz w:val="24"/>
        </w:rPr>
      </w:pPr>
      <w:r>
        <w:rPr>
          <w:rFonts w:hint="eastAsia"/>
          <w:sz w:val="24"/>
        </w:rPr>
        <w:t>30.1供应商认为磋商文件、磋商过程和成交结果使自己的权益受到损害的，可以在知道或者应知其权益受到损害之日起三日内，以书面形式向业主单位或其委托的代理机构提出异议。</w:t>
      </w:r>
    </w:p>
    <w:p w14:paraId="103C8F38">
      <w:pPr>
        <w:spacing w:line="360" w:lineRule="auto"/>
        <w:ind w:firstLine="435"/>
        <w:rPr>
          <w:sz w:val="24"/>
        </w:rPr>
      </w:pPr>
      <w:r>
        <w:rPr>
          <w:rFonts w:hint="eastAsia"/>
          <w:sz w:val="24"/>
        </w:rPr>
        <w:t>30.2异议应以书面形式实名提出，书面异议材料应当包括以下内容：</w:t>
      </w:r>
    </w:p>
    <w:p w14:paraId="4CAA7852">
      <w:pPr>
        <w:spacing w:line="360" w:lineRule="auto"/>
        <w:ind w:firstLine="435"/>
        <w:rPr>
          <w:sz w:val="24"/>
        </w:rPr>
      </w:pPr>
      <w:r>
        <w:rPr>
          <w:rFonts w:hint="eastAsia"/>
          <w:sz w:val="24"/>
        </w:rPr>
        <w:t>30.3异议人的名称、地址、有效联系方式；</w:t>
      </w:r>
    </w:p>
    <w:p w14:paraId="24A7466E">
      <w:pPr>
        <w:spacing w:line="360" w:lineRule="auto"/>
        <w:ind w:firstLine="435"/>
        <w:rPr>
          <w:sz w:val="24"/>
        </w:rPr>
      </w:pPr>
      <w:r>
        <w:rPr>
          <w:rFonts w:hint="eastAsia"/>
          <w:sz w:val="24"/>
        </w:rPr>
        <w:t>30.5项目名称、项目编号、标段号（如有）；</w:t>
      </w:r>
    </w:p>
    <w:p w14:paraId="0B9475CA">
      <w:pPr>
        <w:spacing w:line="360" w:lineRule="auto"/>
        <w:ind w:firstLine="435"/>
        <w:rPr>
          <w:sz w:val="24"/>
        </w:rPr>
      </w:pPr>
      <w:r>
        <w:rPr>
          <w:rFonts w:hint="eastAsia"/>
          <w:sz w:val="24"/>
        </w:rPr>
        <w:t>30.6被异议人名称；</w:t>
      </w:r>
    </w:p>
    <w:p w14:paraId="29354011">
      <w:pPr>
        <w:spacing w:line="360" w:lineRule="auto"/>
        <w:ind w:firstLine="435"/>
        <w:rPr>
          <w:sz w:val="24"/>
        </w:rPr>
      </w:pPr>
      <w:r>
        <w:rPr>
          <w:rFonts w:hint="eastAsia"/>
          <w:sz w:val="24"/>
        </w:rPr>
        <w:t>30.7具体的异议事项、基本事实及必要的证明材料；</w:t>
      </w:r>
    </w:p>
    <w:p w14:paraId="47640409">
      <w:pPr>
        <w:spacing w:line="360" w:lineRule="auto"/>
        <w:ind w:firstLine="435"/>
        <w:rPr>
          <w:sz w:val="24"/>
        </w:rPr>
      </w:pPr>
      <w:r>
        <w:rPr>
          <w:rFonts w:hint="eastAsia"/>
          <w:sz w:val="24"/>
        </w:rPr>
        <w:t>30.8明确的请求及主张；</w:t>
      </w:r>
    </w:p>
    <w:p w14:paraId="1E4B7736">
      <w:pPr>
        <w:spacing w:line="360" w:lineRule="auto"/>
        <w:ind w:firstLine="435"/>
        <w:rPr>
          <w:sz w:val="24"/>
        </w:rPr>
      </w:pPr>
      <w:r>
        <w:rPr>
          <w:rFonts w:hint="eastAsia"/>
          <w:sz w:val="24"/>
        </w:rPr>
        <w:t>30.9提起异议的日期。</w:t>
      </w:r>
    </w:p>
    <w:p w14:paraId="20D8CB11">
      <w:pPr>
        <w:spacing w:line="360" w:lineRule="auto"/>
        <w:ind w:firstLine="435"/>
        <w:rPr>
          <w:sz w:val="24"/>
        </w:rPr>
      </w:pPr>
      <w:r>
        <w:rPr>
          <w:rFonts w:hint="eastAsia"/>
          <w:sz w:val="24"/>
        </w:rPr>
        <w:t>异议人为法人或者其他组织的，应当由法定代表人或其委托代理人（需有委托授权书）签字并加盖公章。异议人需要修改、补充异议材料的，应当在异议期内提交修改或补充材料。</w:t>
      </w:r>
    </w:p>
    <w:p w14:paraId="25AC3352">
      <w:pPr>
        <w:spacing w:line="360" w:lineRule="auto"/>
        <w:ind w:firstLine="435"/>
        <w:rPr>
          <w:sz w:val="24"/>
        </w:rPr>
      </w:pPr>
      <w:r>
        <w:rPr>
          <w:rFonts w:hint="eastAsia"/>
          <w:sz w:val="24"/>
        </w:rPr>
        <w:t>30.10代理机构异议函接收部门、联系电话和通讯地址，见供应商须知前附表。</w:t>
      </w:r>
    </w:p>
    <w:p w14:paraId="15359E54">
      <w:pPr>
        <w:spacing w:line="360" w:lineRule="auto"/>
        <w:ind w:firstLine="435"/>
        <w:rPr>
          <w:b/>
          <w:bCs/>
          <w:sz w:val="24"/>
        </w:rPr>
      </w:pPr>
      <w:r>
        <w:rPr>
          <w:rFonts w:hint="eastAsia"/>
          <w:b/>
          <w:bCs/>
          <w:sz w:val="24"/>
        </w:rPr>
        <w:t>31.需要补充的其他内容</w:t>
      </w:r>
    </w:p>
    <w:p w14:paraId="2003EAEB">
      <w:pPr>
        <w:spacing w:line="360" w:lineRule="auto"/>
        <w:ind w:firstLine="435"/>
        <w:rPr>
          <w:sz w:val="24"/>
        </w:rPr>
      </w:pPr>
      <w:r>
        <w:rPr>
          <w:rFonts w:hint="eastAsia"/>
          <w:sz w:val="24"/>
        </w:rPr>
        <w:t>需要补充的其他内容，见供应商须知前附表。</w:t>
      </w:r>
    </w:p>
    <w:p w14:paraId="324E5F59">
      <w:pPr>
        <w:spacing w:line="360" w:lineRule="auto"/>
        <w:jc w:val="center"/>
        <w:outlineLvl w:val="0"/>
        <w:rPr>
          <w:rFonts w:asciiTheme="minorEastAsia" w:hAnsiTheme="minorEastAsia" w:eastAsiaTheme="minorEastAsia"/>
          <w:b/>
          <w:sz w:val="28"/>
        </w:rPr>
      </w:pPr>
      <w:r>
        <w:rPr>
          <w:sz w:val="24"/>
        </w:rPr>
        <w:br w:type="page"/>
      </w:r>
      <w:bookmarkStart w:id="41" w:name="_Toc63440919"/>
      <w:bookmarkStart w:id="42" w:name="_Toc1626"/>
      <w:r>
        <w:rPr>
          <w:rFonts w:hint="eastAsia" w:asciiTheme="minorEastAsia" w:hAnsiTheme="minorEastAsia" w:eastAsiaTheme="minorEastAsia"/>
          <w:b/>
          <w:sz w:val="28"/>
        </w:rPr>
        <w:t>第三章  采购需求</w:t>
      </w:r>
      <w:bookmarkEnd w:id="41"/>
    </w:p>
    <w:p w14:paraId="001BE847">
      <w:pPr>
        <w:spacing w:line="360" w:lineRule="auto"/>
        <w:rPr>
          <w:rFonts w:asciiTheme="minorEastAsia" w:hAnsiTheme="minorEastAsia" w:eastAsiaTheme="minorEastAsia"/>
          <w:b/>
          <w:sz w:val="24"/>
        </w:rPr>
      </w:pPr>
      <w:r>
        <w:rPr>
          <w:rFonts w:hint="eastAsia" w:asciiTheme="minorEastAsia" w:hAnsiTheme="minorEastAsia" w:eastAsiaTheme="minorEastAsia"/>
          <w:b/>
          <w:sz w:val="24"/>
        </w:rPr>
        <w:t>前注：</w:t>
      </w:r>
    </w:p>
    <w:p w14:paraId="21A493E8">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本采购需求中提出的服务方案仅为参考，如无明确限制，投标</w:t>
      </w:r>
      <w:r>
        <w:rPr>
          <w:rFonts w:hint="eastAsia" w:ascii="宋体" w:hAnsi="宋体" w:eastAsia="宋体" w:cs="宋体"/>
          <w:sz w:val="24"/>
          <w:szCs w:val="24"/>
        </w:rPr>
        <w:t>人</w:t>
      </w:r>
      <w:r>
        <w:rPr>
          <w:rFonts w:ascii="宋体" w:hAnsi="宋体" w:eastAsia="宋体" w:cs="宋体"/>
          <w:sz w:val="24"/>
          <w:szCs w:val="24"/>
        </w:rPr>
        <w:t>可以进行优化，提供满足采购人实际需要的更优（或者性能实质上不低于的）服务方案，且此方案须经评标委员会评审认可</w:t>
      </w:r>
      <w:r>
        <w:rPr>
          <w:rFonts w:hint="eastAsia" w:ascii="宋体" w:hAnsi="宋体" w:eastAsia="宋体" w:cs="宋体"/>
          <w:sz w:val="24"/>
          <w:szCs w:val="24"/>
        </w:rPr>
        <w:t>。</w:t>
      </w:r>
    </w:p>
    <w:p w14:paraId="066A9C77">
      <w:pPr>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2.下列采购需求中：</w:t>
      </w:r>
    </w:p>
    <w:p w14:paraId="2D33F827">
      <w:pPr>
        <w:spacing w:line="360" w:lineRule="auto"/>
        <w:ind w:firstLine="240" w:firstLineChars="100"/>
        <w:rPr>
          <w:rFonts w:ascii="宋体" w:hAnsi="宋体" w:eastAsia="宋体" w:cs="宋体"/>
          <w:sz w:val="24"/>
          <w:szCs w:val="24"/>
        </w:rPr>
      </w:pPr>
      <w:r>
        <w:rPr>
          <w:rFonts w:ascii="宋体" w:hAnsi="宋体" w:eastAsia="宋体" w:cs="宋体"/>
          <w:sz w:val="24"/>
          <w:szCs w:val="24"/>
        </w:rPr>
        <w:t>（1）如属于《节能产品政府采购品目清单》中政府强制采购的节能产品，则</w:t>
      </w:r>
      <w:r>
        <w:rPr>
          <w:rFonts w:hint="eastAsia" w:ascii="宋体" w:hAnsi="宋体" w:eastAsia="宋体" w:cs="宋体"/>
          <w:sz w:val="24"/>
          <w:szCs w:val="24"/>
        </w:rPr>
        <w:t>供应商</w:t>
      </w:r>
      <w:r>
        <w:rPr>
          <w:rFonts w:ascii="宋体" w:hAnsi="宋体" w:eastAsia="宋体" w:cs="宋体"/>
          <w:sz w:val="24"/>
          <w:szCs w:val="24"/>
        </w:rPr>
        <w:t>所投产品须具有市场监管总局公布的《参与实施政府采购节能产品认证机构目录》中的认证机构出具的、处于有效期内的节能产品认证证书。</w:t>
      </w:r>
      <w:r>
        <w:rPr>
          <w:rFonts w:ascii="宋体" w:hAnsi="宋体" w:eastAsia="宋体" w:cs="宋体"/>
          <w:sz w:val="24"/>
          <w:szCs w:val="24"/>
        </w:rPr>
        <w:br w:type="textWrapping"/>
      </w:r>
      <w:r>
        <w:rPr>
          <w:rFonts w:hint="eastAsia" w:ascii="宋体" w:hAnsi="宋体" w:eastAsia="宋体" w:cs="宋体"/>
          <w:sz w:val="24"/>
          <w:szCs w:val="24"/>
        </w:rPr>
        <w:t xml:space="preserve">  </w:t>
      </w:r>
      <w:r>
        <w:rPr>
          <w:rFonts w:ascii="宋体" w:hAnsi="宋体" w:eastAsia="宋体" w:cs="宋体"/>
          <w:sz w:val="24"/>
          <w:szCs w:val="24"/>
        </w:rPr>
        <w:t>（2）如涉及商品包装和快递包装，</w:t>
      </w:r>
      <w:r>
        <w:rPr>
          <w:rFonts w:hint="eastAsia" w:ascii="宋体" w:hAnsi="宋体" w:eastAsia="宋体" w:cs="宋体"/>
          <w:sz w:val="24"/>
          <w:szCs w:val="24"/>
        </w:rPr>
        <w:t>供应商</w:t>
      </w:r>
      <w:r>
        <w:rPr>
          <w:rFonts w:ascii="宋体" w:hAnsi="宋体" w:eastAsia="宋体" w:cs="宋体"/>
          <w:sz w:val="24"/>
          <w:szCs w:val="24"/>
        </w:rPr>
        <w:t>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0978A2E0">
      <w:pPr>
        <w:spacing w:line="360" w:lineRule="auto"/>
        <w:ind w:firstLine="435"/>
        <w:rPr>
          <w:rFonts w:ascii="宋体" w:hAnsi="宋体" w:eastAsia="宋体"/>
          <w:sz w:val="24"/>
          <w:szCs w:val="18"/>
        </w:rPr>
      </w:pPr>
      <w:r>
        <w:rPr>
          <w:rFonts w:hint="eastAsia" w:ascii="宋体" w:hAnsi="宋体" w:eastAsia="宋体"/>
          <w:sz w:val="24"/>
          <w:szCs w:val="18"/>
        </w:rPr>
        <w:t>3.</w:t>
      </w:r>
      <w:r>
        <w:rPr>
          <w:rFonts w:hint="eastAsia"/>
        </w:rPr>
        <w:t xml:space="preserve"> </w:t>
      </w:r>
      <w:r>
        <w:rPr>
          <w:rFonts w:hint="eastAsia" w:ascii="宋体" w:hAnsi="宋体" w:eastAsia="宋体"/>
          <w:sz w:val="24"/>
          <w:szCs w:val="18"/>
        </w:rPr>
        <w:t>如采购人允许采用分包方式履行合同的，应当明确可以分包履行的相关内容。</w:t>
      </w:r>
    </w:p>
    <w:p w14:paraId="02F82193">
      <w:pPr>
        <w:spacing w:line="360" w:lineRule="auto"/>
        <w:ind w:firstLine="437"/>
        <w:outlineLvl w:val="1"/>
        <w:rPr>
          <w:rFonts w:ascii="宋体" w:hAnsi="宋体" w:eastAsia="宋体"/>
          <w:b/>
          <w:sz w:val="24"/>
          <w:szCs w:val="18"/>
        </w:rPr>
      </w:pPr>
      <w:r>
        <w:rPr>
          <w:rFonts w:hint="eastAsia" w:ascii="宋体" w:hAnsi="宋体" w:eastAsia="宋体"/>
          <w:b/>
          <w:sz w:val="24"/>
          <w:szCs w:val="18"/>
        </w:rPr>
        <w:t>一、采购需求前附表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2"/>
        <w:gridCol w:w="5484"/>
      </w:tblGrid>
      <w:tr w14:paraId="2D58E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438CB62">
            <w:pPr>
              <w:pStyle w:val="40"/>
              <w:pBdr>
                <w:bottom w:val="none" w:color="auto" w:sz="0" w:space="0"/>
              </w:pBdr>
              <w:tabs>
                <w:tab w:val="clear" w:pos="4153"/>
                <w:tab w:val="clear" w:pos="8306"/>
              </w:tabs>
              <w:adjustRightInd/>
              <w:spacing w:line="240" w:lineRule="auto"/>
              <w:textAlignment w:val="auto"/>
              <w:rPr>
                <w:rFonts w:ascii="宋体" w:hAnsi="宋体" w:eastAsia="宋体"/>
                <w:b/>
                <w:kern w:val="2"/>
              </w:rPr>
            </w:pPr>
            <w:r>
              <w:rPr>
                <w:rFonts w:hint="eastAsia" w:ascii="宋体" w:hAnsi="宋体" w:eastAsia="宋体"/>
                <w:b/>
                <w:kern w:val="2"/>
              </w:rPr>
              <w:t>序号</w:t>
            </w:r>
          </w:p>
        </w:tc>
        <w:tc>
          <w:tcPr>
            <w:tcW w:w="1192" w:type="pct"/>
            <w:vAlign w:val="center"/>
          </w:tcPr>
          <w:p w14:paraId="6AD556B0">
            <w:pPr>
              <w:pStyle w:val="3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条款名称</w:t>
            </w:r>
          </w:p>
        </w:tc>
        <w:tc>
          <w:tcPr>
            <w:tcW w:w="3216" w:type="pct"/>
            <w:vAlign w:val="center"/>
          </w:tcPr>
          <w:p w14:paraId="516B3011">
            <w:pPr>
              <w:pStyle w:val="39"/>
              <w:widowControl w:val="0"/>
              <w:spacing w:before="0" w:beforeAutospacing="0" w:after="0" w:afterAutospacing="0" w:line="360" w:lineRule="auto"/>
              <w:rPr>
                <w:rFonts w:ascii="宋体" w:hAnsi="宋体" w:eastAsia="宋体"/>
                <w:bCs w:val="0"/>
                <w:sz w:val="24"/>
              </w:rPr>
            </w:pPr>
            <w:r>
              <w:rPr>
                <w:rFonts w:hint="eastAsia" w:ascii="宋体" w:hAnsi="宋体" w:eastAsia="宋体"/>
                <w:bCs w:val="0"/>
                <w:sz w:val="24"/>
              </w:rPr>
              <w:t>内容、说明与要求</w:t>
            </w:r>
          </w:p>
        </w:tc>
      </w:tr>
      <w:tr w14:paraId="14690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4DDEFF7">
            <w:pPr>
              <w:pStyle w:val="4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1</w:t>
            </w:r>
          </w:p>
        </w:tc>
        <w:tc>
          <w:tcPr>
            <w:tcW w:w="1192" w:type="pct"/>
            <w:vAlign w:val="center"/>
          </w:tcPr>
          <w:p w14:paraId="72AE5D37">
            <w:pPr>
              <w:pStyle w:val="3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付款方式</w:t>
            </w:r>
          </w:p>
        </w:tc>
        <w:tc>
          <w:tcPr>
            <w:tcW w:w="3216" w:type="pct"/>
            <w:vAlign w:val="center"/>
          </w:tcPr>
          <w:p w14:paraId="2D0188AA">
            <w:pPr>
              <w:pStyle w:val="39"/>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按工程类别计费，按项目付款，项目结束后按季度申报，据实结算。</w:t>
            </w:r>
          </w:p>
          <w:p w14:paraId="07609CCA">
            <w:pPr>
              <w:pStyle w:val="39"/>
              <w:widowControl w:val="0"/>
              <w:spacing w:before="0" w:beforeAutospacing="0" w:after="0" w:afterAutospacing="0" w:line="360" w:lineRule="auto"/>
              <w:jc w:val="both"/>
              <w:rPr>
                <w:rFonts w:hint="default"/>
                <w:b w:val="0"/>
                <w:sz w:val="24"/>
                <w:lang w:val="en-US" w:eastAsia="zh-CN"/>
              </w:rPr>
            </w:pPr>
            <w:r>
              <w:rPr>
                <w:rFonts w:hint="eastAsia" w:ascii="宋体" w:hAnsi="宋体" w:eastAsia="宋体"/>
                <w:b w:val="0"/>
                <w:sz w:val="24"/>
                <w:lang w:eastAsia="zh-CN"/>
              </w:rPr>
              <w:t>（</w:t>
            </w:r>
            <w:r>
              <w:rPr>
                <w:rFonts w:hint="eastAsia" w:ascii="宋体" w:hAnsi="宋体" w:eastAsia="宋体"/>
                <w:b w:val="0"/>
                <w:sz w:val="24"/>
                <w:lang w:val="en-US" w:eastAsia="zh-CN"/>
              </w:rPr>
              <w:t>1</w:t>
            </w:r>
            <w:r>
              <w:rPr>
                <w:rFonts w:hint="eastAsia" w:ascii="宋体" w:hAnsi="宋体" w:eastAsia="宋体"/>
                <w:b w:val="0"/>
                <w:sz w:val="24"/>
                <w:lang w:eastAsia="zh-CN"/>
              </w:rPr>
              <w:t>）</w:t>
            </w:r>
            <w:r>
              <w:rPr>
                <w:rFonts w:hint="eastAsia" w:ascii="宋体" w:hAnsi="宋体" w:eastAsia="宋体"/>
                <w:b/>
                <w:bCs w:val="0"/>
                <w:sz w:val="24"/>
                <w:lang w:val="en-US" w:eastAsia="zh-CN"/>
              </w:rPr>
              <w:t>方案审查类</w:t>
            </w:r>
            <w:r>
              <w:rPr>
                <w:rFonts w:hint="eastAsia" w:ascii="宋体" w:hAnsi="宋体" w:eastAsia="宋体"/>
                <w:b w:val="0"/>
                <w:sz w:val="24"/>
                <w:lang w:val="en-US" w:eastAsia="zh-CN"/>
              </w:rPr>
              <w:t>：</w:t>
            </w:r>
            <w:r>
              <w:rPr>
                <w:rFonts w:hint="eastAsia" w:ascii="宋体" w:hAnsi="宋体" w:eastAsia="宋体"/>
                <w:b w:val="0"/>
                <w:sz w:val="24"/>
              </w:rPr>
              <w:t>出具方案审查审批意见后，按季度根据完成审查量支付到方案审查费用的100%。</w:t>
            </w:r>
          </w:p>
        </w:tc>
      </w:tr>
      <w:tr w14:paraId="48FED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35AB248D">
            <w:pPr>
              <w:pStyle w:val="4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2</w:t>
            </w:r>
          </w:p>
        </w:tc>
        <w:tc>
          <w:tcPr>
            <w:tcW w:w="1192" w:type="pct"/>
            <w:vAlign w:val="center"/>
          </w:tcPr>
          <w:p w14:paraId="3C7452BA">
            <w:pPr>
              <w:pStyle w:val="3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服务地点</w:t>
            </w:r>
          </w:p>
        </w:tc>
        <w:tc>
          <w:tcPr>
            <w:tcW w:w="3216" w:type="pct"/>
            <w:vAlign w:val="center"/>
          </w:tcPr>
          <w:p w14:paraId="76A67D56">
            <w:pPr>
              <w:pStyle w:val="39"/>
              <w:widowControl w:val="0"/>
              <w:spacing w:before="0" w:beforeAutospacing="0" w:after="0" w:afterAutospacing="0" w:line="360" w:lineRule="auto"/>
              <w:jc w:val="both"/>
              <w:rPr>
                <w:rFonts w:hint="eastAsia" w:ascii="宋体" w:hAnsi="宋体" w:eastAsia="宋体"/>
                <w:b w:val="0"/>
                <w:sz w:val="24"/>
                <w:lang w:eastAsia="zh-CN"/>
              </w:rPr>
            </w:pPr>
            <w:r>
              <w:rPr>
                <w:rFonts w:hint="eastAsia" w:ascii="宋体" w:hAnsi="宋体" w:eastAsia="宋体"/>
                <w:b w:val="0"/>
                <w:sz w:val="24"/>
                <w:lang w:eastAsia="zh-CN"/>
              </w:rPr>
              <w:t>肥西县</w:t>
            </w:r>
          </w:p>
        </w:tc>
      </w:tr>
      <w:tr w14:paraId="7FAC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51AE87F6">
            <w:pPr>
              <w:pStyle w:val="4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3</w:t>
            </w:r>
          </w:p>
        </w:tc>
        <w:tc>
          <w:tcPr>
            <w:tcW w:w="1192" w:type="pct"/>
            <w:vAlign w:val="center"/>
          </w:tcPr>
          <w:p w14:paraId="2CF8CEAF">
            <w:pPr>
              <w:pStyle w:val="3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服务期限</w:t>
            </w:r>
          </w:p>
        </w:tc>
        <w:tc>
          <w:tcPr>
            <w:tcW w:w="3216" w:type="pct"/>
            <w:vAlign w:val="center"/>
          </w:tcPr>
          <w:p w14:paraId="45A10502">
            <w:pPr>
              <w:pStyle w:val="39"/>
              <w:widowControl w:val="0"/>
              <w:spacing w:before="0" w:beforeAutospacing="0" w:after="0" w:afterAutospacing="0" w:line="360" w:lineRule="auto"/>
              <w:jc w:val="both"/>
              <w:rPr>
                <w:rFonts w:ascii="宋体" w:hAnsi="宋体" w:eastAsia="宋体"/>
                <w:b w:val="0"/>
                <w:sz w:val="24"/>
              </w:rPr>
            </w:pPr>
            <w:r>
              <w:rPr>
                <w:rFonts w:hint="eastAsia" w:ascii="宋体" w:hAnsi="宋体" w:eastAsia="宋体"/>
                <w:b w:val="0"/>
                <w:sz w:val="24"/>
              </w:rPr>
              <w:t>合同签订之日起一年（365日历天）；服务期满后，如有正在履约项目未完成的，直至项目完成为止。</w:t>
            </w:r>
          </w:p>
        </w:tc>
      </w:tr>
      <w:tr w14:paraId="08A4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079BA7D">
            <w:pPr>
              <w:pStyle w:val="4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4</w:t>
            </w:r>
          </w:p>
        </w:tc>
        <w:tc>
          <w:tcPr>
            <w:tcW w:w="1192" w:type="pct"/>
            <w:vAlign w:val="center"/>
          </w:tcPr>
          <w:p w14:paraId="2670C616">
            <w:pPr>
              <w:pStyle w:val="39"/>
              <w:widowControl w:val="0"/>
              <w:spacing w:before="0" w:beforeAutospacing="0" w:after="0" w:afterAutospacing="0" w:line="360" w:lineRule="auto"/>
              <w:rPr>
                <w:rFonts w:ascii="宋体" w:hAnsi="宋体" w:eastAsia="宋体"/>
                <w:b w:val="0"/>
                <w:sz w:val="24"/>
              </w:rPr>
            </w:pPr>
            <w:r>
              <w:rPr>
                <w:rFonts w:hint="eastAsia" w:asciiTheme="minorEastAsia" w:hAnsiTheme="minorEastAsia" w:eastAsiaTheme="minorEastAsia"/>
                <w:b w:val="0"/>
                <w:sz w:val="24"/>
              </w:rPr>
              <w:t>初审业绩</w:t>
            </w:r>
          </w:p>
        </w:tc>
        <w:tc>
          <w:tcPr>
            <w:tcW w:w="3216" w:type="pct"/>
            <w:vAlign w:val="center"/>
          </w:tcPr>
          <w:p w14:paraId="1197B15A">
            <w:pPr>
              <w:pStyle w:val="39"/>
              <w:widowControl w:val="0"/>
              <w:spacing w:before="0" w:beforeAutospacing="0" w:after="0" w:afterAutospacing="0" w:line="360" w:lineRule="auto"/>
              <w:jc w:val="both"/>
              <w:rPr>
                <w:rFonts w:ascii="宋体" w:hAnsi="宋体" w:eastAsia="宋体"/>
                <w:b w:val="0"/>
                <w:sz w:val="24"/>
                <w:u w:val="single"/>
              </w:rPr>
            </w:pPr>
            <w:r>
              <w:rPr>
                <w:rFonts w:hint="eastAsia" w:asciiTheme="minorEastAsia" w:hAnsiTheme="minorEastAsia" w:eastAsiaTheme="minorEastAsia"/>
                <w:b w:val="0"/>
                <w:bCs w:val="0"/>
                <w:sz w:val="24"/>
              </w:rPr>
              <w:t>无</w:t>
            </w:r>
          </w:p>
        </w:tc>
      </w:tr>
      <w:tr w14:paraId="2F2EF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C58E26D">
            <w:pPr>
              <w:pStyle w:val="40"/>
              <w:pBdr>
                <w:bottom w:val="none" w:color="auto" w:sz="0" w:space="0"/>
              </w:pBdr>
              <w:tabs>
                <w:tab w:val="clear" w:pos="4153"/>
                <w:tab w:val="clear" w:pos="8306"/>
              </w:tabs>
              <w:adjustRightInd/>
              <w:spacing w:line="240" w:lineRule="auto"/>
              <w:textAlignment w:val="auto"/>
              <w:rPr>
                <w:rFonts w:ascii="宋体" w:hAnsi="宋体" w:eastAsia="宋体"/>
                <w:bCs/>
                <w:kern w:val="2"/>
              </w:rPr>
            </w:pPr>
            <w:r>
              <w:rPr>
                <w:rFonts w:hint="eastAsia" w:ascii="宋体" w:hAnsi="宋体" w:eastAsia="宋体"/>
                <w:bCs/>
                <w:kern w:val="2"/>
              </w:rPr>
              <w:t>5</w:t>
            </w:r>
          </w:p>
        </w:tc>
        <w:tc>
          <w:tcPr>
            <w:tcW w:w="1192" w:type="pct"/>
            <w:vAlign w:val="center"/>
          </w:tcPr>
          <w:p w14:paraId="2D9E6A97">
            <w:pPr>
              <w:pStyle w:val="39"/>
              <w:widowControl w:val="0"/>
              <w:spacing w:before="0" w:beforeAutospacing="0" w:after="0" w:afterAutospacing="0" w:line="360" w:lineRule="auto"/>
              <w:rPr>
                <w:rFonts w:ascii="宋体" w:hAnsi="宋体" w:eastAsia="宋体"/>
                <w:b w:val="0"/>
                <w:sz w:val="24"/>
              </w:rPr>
            </w:pPr>
            <w:r>
              <w:rPr>
                <w:rFonts w:hint="eastAsia" w:ascii="宋体" w:hAnsi="宋体" w:eastAsia="宋体"/>
                <w:b w:val="0"/>
                <w:sz w:val="24"/>
              </w:rPr>
              <w:t>本项目采购标的名称及所属行业</w:t>
            </w:r>
          </w:p>
        </w:tc>
        <w:tc>
          <w:tcPr>
            <w:tcW w:w="3216" w:type="pct"/>
            <w:vAlign w:val="center"/>
          </w:tcPr>
          <w:p w14:paraId="555DC9B7">
            <w:pPr>
              <w:spacing w:line="360" w:lineRule="auto"/>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rPr>
              <w:t>标的名称：</w:t>
            </w:r>
            <w:r>
              <w:rPr>
                <w:rFonts w:hint="eastAsia" w:asciiTheme="minorEastAsia" w:hAnsiTheme="minorEastAsia" w:eastAsiaTheme="minorEastAsia"/>
                <w:sz w:val="24"/>
                <w:lang w:val="en-US" w:eastAsia="zh-CN"/>
              </w:rPr>
              <w:t>肥西县住建局2025-2026年度勘察设计咨询服务单位[二次]</w:t>
            </w:r>
          </w:p>
          <w:p w14:paraId="136E5EB8">
            <w:pPr>
              <w:rPr>
                <w:rFonts w:ascii="宋体" w:hAnsi="宋体" w:eastAsiaTheme="minorEastAsia"/>
                <w:sz w:val="24"/>
                <w:u w:val="single"/>
              </w:rPr>
            </w:pPr>
            <w:r>
              <w:rPr>
                <w:rFonts w:hint="eastAsia" w:asciiTheme="minorEastAsia" w:hAnsiTheme="minorEastAsia" w:eastAsiaTheme="minorEastAsia"/>
                <w:sz w:val="24"/>
              </w:rPr>
              <w:t>所属行业：其他未列明行业</w:t>
            </w:r>
          </w:p>
        </w:tc>
      </w:tr>
    </w:tbl>
    <w:p w14:paraId="50E9915C">
      <w:pPr>
        <w:spacing w:line="360" w:lineRule="auto"/>
        <w:ind w:firstLine="437"/>
        <w:outlineLvl w:val="1"/>
        <w:rPr>
          <w:rFonts w:ascii="宋体" w:hAnsi="宋体" w:eastAsia="宋体"/>
          <w:b/>
          <w:sz w:val="24"/>
          <w:szCs w:val="18"/>
        </w:rPr>
      </w:pPr>
      <w:bookmarkStart w:id="43" w:name="_Hlk16461016"/>
      <w:r>
        <w:rPr>
          <w:rFonts w:hint="eastAsia" w:ascii="宋体" w:hAnsi="宋体" w:eastAsia="宋体"/>
          <w:b/>
          <w:sz w:val="24"/>
          <w:szCs w:val="18"/>
        </w:rPr>
        <w:t>二、项目概况</w:t>
      </w:r>
    </w:p>
    <w:p w14:paraId="2F5561C3">
      <w:pPr>
        <w:spacing w:line="360" w:lineRule="auto"/>
        <w:ind w:firstLine="435"/>
        <w:rPr>
          <w:rFonts w:hint="default" w:eastAsia="宋体"/>
          <w:lang w:val="en-US" w:eastAsia="zh-CN"/>
        </w:rPr>
      </w:pPr>
      <w:r>
        <w:rPr>
          <w:rFonts w:hint="eastAsia" w:ascii="宋体" w:hAnsi="宋体" w:eastAsia="宋体"/>
          <w:sz w:val="24"/>
          <w:highlight w:val="none"/>
        </w:rPr>
        <w:t>本项目分三个包，拟对应采购三家服务单位，分别提供方案审查类服务、勘察设计类和咨询类等服务。具体包括：（1）第1包方案审查类：排水设计方案技术咨询审查、因工程建设需要拆除、改动排水与污水处理设施审查，管线综合方案技术咨询审查，消防总平图技术咨询审查等</w:t>
      </w:r>
      <w:r>
        <w:rPr>
          <w:rFonts w:hint="eastAsia"/>
          <w:sz w:val="24"/>
          <w:highlight w:val="none"/>
          <w:lang w:eastAsia="zh-CN"/>
        </w:rPr>
        <w:t>。</w:t>
      </w:r>
      <w:r>
        <w:rPr>
          <w:rFonts w:hint="eastAsia"/>
          <w:sz w:val="24"/>
          <w:highlight w:val="none"/>
          <w:lang w:val="en-US" w:eastAsia="zh-CN"/>
        </w:rPr>
        <w:t>本次磋商为第1包。</w:t>
      </w:r>
    </w:p>
    <w:p w14:paraId="06933F96">
      <w:pPr>
        <w:spacing w:line="360" w:lineRule="auto"/>
        <w:ind w:firstLine="482" w:firstLineChars="200"/>
        <w:outlineLvl w:val="1"/>
        <w:rPr>
          <w:rFonts w:ascii="宋体" w:hAnsi="宋体" w:eastAsia="宋体"/>
          <w:b/>
          <w:color w:val="auto"/>
          <w:sz w:val="24"/>
          <w:szCs w:val="18"/>
          <w:highlight w:val="none"/>
        </w:rPr>
      </w:pPr>
      <w:r>
        <w:rPr>
          <w:rFonts w:hint="eastAsia" w:ascii="宋体" w:hAnsi="宋体" w:eastAsia="宋体"/>
          <w:b/>
          <w:color w:val="auto"/>
          <w:sz w:val="24"/>
          <w:szCs w:val="18"/>
          <w:highlight w:val="none"/>
        </w:rPr>
        <w:t>三、服务需求</w:t>
      </w:r>
    </w:p>
    <w:p w14:paraId="0C80E397">
      <w:pPr>
        <w:spacing w:line="360" w:lineRule="auto"/>
        <w:ind w:firstLine="435"/>
        <w:rPr>
          <w:rFonts w:hint="eastAsia" w:ascii="宋体" w:hAnsi="宋体" w:eastAsia="宋体"/>
          <w:b/>
          <w:bCs/>
          <w:color w:val="auto"/>
          <w:sz w:val="24"/>
          <w:highlight w:val="none"/>
        </w:rPr>
      </w:pPr>
      <w:r>
        <w:rPr>
          <w:rFonts w:hint="eastAsia" w:ascii="宋体" w:hAnsi="宋体" w:eastAsia="宋体"/>
          <w:b/>
          <w:bCs/>
          <w:color w:val="auto"/>
          <w:sz w:val="24"/>
          <w:highlight w:val="none"/>
        </w:rPr>
        <w:t>（</w:t>
      </w:r>
      <w:r>
        <w:rPr>
          <w:rFonts w:hint="eastAsia" w:ascii="宋体" w:hAnsi="宋体" w:eastAsia="宋体"/>
          <w:b/>
          <w:bCs/>
          <w:color w:val="auto"/>
          <w:sz w:val="24"/>
          <w:highlight w:val="none"/>
          <w:lang w:val="en-US" w:eastAsia="zh-CN"/>
        </w:rPr>
        <w:t>一</w:t>
      </w:r>
      <w:r>
        <w:rPr>
          <w:rFonts w:hint="eastAsia" w:ascii="宋体" w:hAnsi="宋体" w:eastAsia="宋体"/>
          <w:b/>
          <w:bCs/>
          <w:color w:val="auto"/>
          <w:sz w:val="24"/>
          <w:highlight w:val="none"/>
        </w:rPr>
        <w:t>）方案审查类服务要求</w:t>
      </w:r>
    </w:p>
    <w:p w14:paraId="1E9D125B">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rPr>
        <w:t>1.审查咨询周期：成交供应商接到委托任务后，原则上应在5个工作日内召开审查会,设计方案修改完善后3个工作日内出具咨询报告</w:t>
      </w:r>
      <w:r>
        <w:rPr>
          <w:rFonts w:hint="eastAsia"/>
          <w:sz w:val="24"/>
          <w:highlight w:val="none"/>
          <w:lang w:eastAsia="zh-CN"/>
        </w:rPr>
        <w:t>。</w:t>
      </w:r>
    </w:p>
    <w:p w14:paraId="522C608A">
      <w:pPr>
        <w:spacing w:line="560" w:lineRule="exact"/>
        <w:ind w:firstLine="480" w:firstLineChars="200"/>
        <w:rPr>
          <w:rFonts w:hint="eastAsia" w:ascii="宋体" w:hAnsi="宋体" w:eastAsia="宋体"/>
          <w:sz w:val="24"/>
          <w:highlight w:val="none"/>
        </w:rPr>
      </w:pPr>
      <w:r>
        <w:rPr>
          <w:rFonts w:hint="eastAsia"/>
          <w:sz w:val="24"/>
          <w:highlight w:val="none"/>
          <w:lang w:val="en-US" w:eastAsia="zh-CN"/>
        </w:rPr>
        <w:t>2</w:t>
      </w:r>
      <w:r>
        <w:rPr>
          <w:rFonts w:hint="eastAsia" w:ascii="宋体" w:hAnsi="宋体" w:eastAsia="宋体"/>
          <w:sz w:val="24"/>
          <w:highlight w:val="none"/>
        </w:rPr>
        <w:t>.为保证本项目的顺利实施，成交供应商接到委托任务后</w:t>
      </w:r>
      <w:r>
        <w:rPr>
          <w:rFonts w:hint="eastAsia" w:ascii="宋体" w:hAnsi="宋体" w:eastAsia="宋体"/>
          <w:sz w:val="24"/>
          <w:highlight w:val="none"/>
          <w:lang w:val="en-US" w:eastAsia="zh-CN"/>
        </w:rPr>
        <w:t>需</w:t>
      </w:r>
      <w:r>
        <w:rPr>
          <w:rFonts w:hint="eastAsia" w:ascii="宋体" w:hAnsi="宋体" w:eastAsia="宋体"/>
          <w:sz w:val="24"/>
          <w:highlight w:val="none"/>
        </w:rPr>
        <w:t>分别成立三个专项方案设计审查咨询团队，</w:t>
      </w:r>
      <w:r>
        <w:rPr>
          <w:rFonts w:hint="eastAsia" w:ascii="宋体" w:hAnsi="宋体" w:eastAsia="宋体"/>
          <w:sz w:val="24"/>
          <w:highlight w:val="none"/>
          <w:lang w:val="en-US" w:eastAsia="zh-CN"/>
        </w:rPr>
        <w:t>满足</w:t>
      </w:r>
      <w:r>
        <w:rPr>
          <w:rFonts w:hint="eastAsia" w:ascii="宋体" w:hAnsi="宋体" w:eastAsia="宋体"/>
          <w:sz w:val="24"/>
          <w:highlight w:val="none"/>
        </w:rPr>
        <w:t>采购人指定地点开展审查咨询工作、提供服务。</w:t>
      </w:r>
    </w:p>
    <w:p w14:paraId="3F5BBA34">
      <w:pPr>
        <w:spacing w:line="560" w:lineRule="exact"/>
        <w:ind w:firstLine="480" w:firstLineChars="200"/>
        <w:rPr>
          <w:rFonts w:hint="eastAsia" w:ascii="宋体" w:hAnsi="宋体" w:eastAsia="宋体"/>
          <w:color w:val="0000FF"/>
          <w:sz w:val="24"/>
          <w:highlight w:val="none"/>
          <w:lang w:eastAsia="zh-CN"/>
        </w:rPr>
      </w:pPr>
      <w:r>
        <w:rPr>
          <w:rFonts w:hint="eastAsia" w:ascii="宋体" w:hAnsi="宋体" w:eastAsia="宋体"/>
          <w:sz w:val="24"/>
          <w:highlight w:val="none"/>
        </w:rPr>
        <w:t>（1）审查内容：包含但不限于项目排水设计方案是否符合排水专项规划和相关标准、规范要求，周边道路市政排水管网接入条件、接驳方式，项目内部现状排水设施迁改等</w:t>
      </w:r>
      <w:r>
        <w:rPr>
          <w:rFonts w:hint="eastAsia"/>
          <w:sz w:val="24"/>
          <w:highlight w:val="none"/>
          <w:lang w:eastAsia="zh-CN"/>
        </w:rPr>
        <w:t>。</w:t>
      </w:r>
    </w:p>
    <w:p w14:paraId="029EBC4E">
      <w:pPr>
        <w:spacing w:line="560" w:lineRule="exact"/>
        <w:ind w:firstLine="480" w:firstLineChars="200"/>
        <w:rPr>
          <w:rFonts w:hint="eastAsia" w:ascii="宋体" w:hAnsi="宋体" w:eastAsia="宋体"/>
          <w:sz w:val="24"/>
          <w:highlight w:val="none"/>
        </w:rPr>
      </w:pPr>
      <w:r>
        <w:rPr>
          <w:rFonts w:hint="eastAsia" w:ascii="宋体" w:hAnsi="宋体" w:eastAsia="宋体"/>
          <w:sz w:val="24"/>
          <w:highlight w:val="none"/>
        </w:rPr>
        <w:t>（2）工作对接：与采购人、建设单位、排水方案设计单位等进行工作对接，收集项目排水设计方案、设计图纸、前期相关批文等审查所需全部资料。</w:t>
      </w:r>
    </w:p>
    <w:p w14:paraId="4B35C7A3">
      <w:pPr>
        <w:spacing w:line="560" w:lineRule="exact"/>
        <w:ind w:firstLine="480" w:firstLineChars="200"/>
        <w:rPr>
          <w:rFonts w:hint="eastAsia" w:ascii="宋体" w:hAnsi="宋体" w:eastAsia="宋体"/>
          <w:sz w:val="24"/>
          <w:highlight w:val="none"/>
        </w:rPr>
      </w:pPr>
      <w:r>
        <w:rPr>
          <w:rFonts w:hint="eastAsia" w:ascii="宋体" w:hAnsi="宋体" w:eastAsia="宋体"/>
          <w:sz w:val="24"/>
          <w:highlight w:val="none"/>
        </w:rPr>
        <w:t>（3）审查准备：制定审查工作计划，安排会议时间和地点，选择专家，确定参会部门，发送会议通知。</w:t>
      </w:r>
    </w:p>
    <w:p w14:paraId="51CBC7F9">
      <w:pPr>
        <w:spacing w:line="560" w:lineRule="exact"/>
        <w:ind w:firstLine="480" w:firstLineChars="200"/>
        <w:rPr>
          <w:rFonts w:hint="eastAsia" w:ascii="宋体" w:hAnsi="宋体" w:eastAsia="宋体"/>
          <w:sz w:val="24"/>
          <w:highlight w:val="none"/>
        </w:rPr>
      </w:pPr>
      <w:r>
        <w:rPr>
          <w:rFonts w:hint="eastAsia" w:ascii="宋体" w:hAnsi="宋体" w:eastAsia="宋体"/>
          <w:sz w:val="24"/>
          <w:highlight w:val="none"/>
        </w:rPr>
        <w:t>（4）组织召开审查会：带队踏勘项目现场，担任会议主持人，汇总专家个人意见和部门代表意见，整理审查会专家组意见。会务组织、踏勘现场、专家论证等工作所需会场费、车辆费、专家费等相关费用均包含在报价内。</w:t>
      </w:r>
    </w:p>
    <w:p w14:paraId="7C318C76">
      <w:pPr>
        <w:spacing w:line="560" w:lineRule="exact"/>
        <w:ind w:firstLine="480" w:firstLineChars="200"/>
        <w:rPr>
          <w:rFonts w:hint="eastAsia" w:ascii="宋体" w:hAnsi="宋体" w:eastAsia="宋体"/>
          <w:sz w:val="24"/>
          <w:highlight w:val="none"/>
        </w:rPr>
      </w:pPr>
      <w:r>
        <w:rPr>
          <w:rFonts w:hint="eastAsia" w:ascii="宋体" w:hAnsi="宋体" w:eastAsia="宋体"/>
          <w:sz w:val="24"/>
          <w:highlight w:val="none"/>
        </w:rPr>
        <w:t>（5）出具审查咨询报告：跟踪项目排水设计单位修改进程，发催要修改资料函，编制审查咨询报告纸质版1份及电子版扫描件，盖章确认后反馈采购人；负责对审查咨询报告进行全面说明和解释，特殊情况和重大事项应详细阐述。</w:t>
      </w:r>
    </w:p>
    <w:p w14:paraId="5BC469F5">
      <w:pPr>
        <w:spacing w:line="560" w:lineRule="exact"/>
        <w:ind w:firstLine="480" w:firstLineChars="200"/>
        <w:rPr>
          <w:rFonts w:hint="eastAsia" w:ascii="宋体" w:hAnsi="宋体" w:eastAsia="宋体"/>
          <w:color w:val="0000FF"/>
          <w:sz w:val="24"/>
          <w:highlight w:val="none"/>
        </w:rPr>
      </w:pPr>
      <w:r>
        <w:rPr>
          <w:rFonts w:hint="eastAsia" w:ascii="宋体" w:hAnsi="宋体" w:eastAsia="宋体"/>
          <w:color w:val="0000FF"/>
          <w:sz w:val="24"/>
          <w:highlight w:val="none"/>
        </w:rPr>
        <w:t>（</w:t>
      </w:r>
      <w:r>
        <w:rPr>
          <w:rFonts w:hint="eastAsia"/>
          <w:color w:val="0000FF"/>
          <w:sz w:val="24"/>
          <w:highlight w:val="none"/>
          <w:lang w:val="en-US" w:eastAsia="zh-CN"/>
        </w:rPr>
        <w:t>6</w:t>
      </w:r>
      <w:r>
        <w:rPr>
          <w:rFonts w:hint="eastAsia" w:ascii="宋体" w:hAnsi="宋体" w:eastAsia="宋体"/>
          <w:color w:val="0000FF"/>
          <w:sz w:val="24"/>
          <w:highlight w:val="none"/>
        </w:rPr>
        <w:t>）按照建设工程质量、消防法律法规和国家工程建设消防技术标准等，做好肥西县新建、扩建、改建等建设工程的规划方案总图消防设计审查工作，并限期（2个工作日内）出具建设工程总平面图消防设计审查报告，报告中提出的问题经建设单位修改完善后并重新上传的，出具复核意见，直至审查合格。</w:t>
      </w:r>
    </w:p>
    <w:p w14:paraId="65D032C7">
      <w:pPr>
        <w:spacing w:line="560" w:lineRule="exact"/>
        <w:ind w:firstLine="480" w:firstLineChars="200"/>
        <w:rPr>
          <w:rFonts w:hint="eastAsia" w:ascii="宋体" w:hAnsi="宋体" w:eastAsia="宋体"/>
          <w:color w:val="0000FF"/>
          <w:sz w:val="24"/>
          <w:highlight w:val="none"/>
        </w:rPr>
      </w:pPr>
      <w:r>
        <w:rPr>
          <w:rFonts w:hint="eastAsia" w:ascii="宋体" w:hAnsi="宋体" w:eastAsia="宋体"/>
          <w:color w:val="0000FF"/>
          <w:sz w:val="24"/>
          <w:highlight w:val="none"/>
        </w:rPr>
        <w:t>（</w:t>
      </w:r>
      <w:r>
        <w:rPr>
          <w:rFonts w:hint="eastAsia"/>
          <w:color w:val="0000FF"/>
          <w:sz w:val="24"/>
          <w:highlight w:val="none"/>
          <w:lang w:val="en-US" w:eastAsia="zh-CN"/>
        </w:rPr>
        <w:t>7</w:t>
      </w:r>
      <w:r>
        <w:rPr>
          <w:rFonts w:hint="eastAsia" w:ascii="宋体" w:hAnsi="宋体" w:eastAsia="宋体"/>
          <w:color w:val="0000FF"/>
          <w:sz w:val="24"/>
          <w:highlight w:val="none"/>
        </w:rPr>
        <w:t>）建设工程总平面图消防设计审查人员资质必须具有</w:t>
      </w:r>
      <w:r>
        <w:rPr>
          <w:rFonts w:hint="eastAsia" w:ascii="宋体" w:hAnsi="宋体" w:eastAsia="宋体"/>
          <w:b/>
          <w:bCs/>
          <w:color w:val="0000FF"/>
          <w:sz w:val="24"/>
          <w:highlight w:val="none"/>
        </w:rPr>
        <w:t>一级注册建筑师执业资格证书，且具有建筑工程相关专业高级及以上职称</w:t>
      </w:r>
      <w:r>
        <w:rPr>
          <w:rFonts w:hint="eastAsia" w:ascii="宋体" w:hAnsi="宋体" w:eastAsia="宋体"/>
          <w:color w:val="0000FF"/>
          <w:sz w:val="24"/>
          <w:highlight w:val="none"/>
        </w:rPr>
        <w:t>。</w:t>
      </w:r>
    </w:p>
    <w:p w14:paraId="3FF39635">
      <w:pPr>
        <w:spacing w:line="560" w:lineRule="exact"/>
        <w:ind w:firstLine="480" w:firstLineChars="200"/>
        <w:rPr>
          <w:rFonts w:hint="eastAsia" w:ascii="宋体" w:hAnsi="宋体" w:eastAsia="宋体"/>
          <w:color w:val="0000FF"/>
          <w:sz w:val="24"/>
          <w:highlight w:val="none"/>
        </w:rPr>
      </w:pPr>
      <w:r>
        <w:rPr>
          <w:rFonts w:hint="eastAsia" w:ascii="宋体" w:hAnsi="宋体" w:eastAsia="宋体"/>
          <w:color w:val="0000FF"/>
          <w:sz w:val="24"/>
          <w:highlight w:val="none"/>
        </w:rPr>
        <w:t>（</w:t>
      </w:r>
      <w:r>
        <w:rPr>
          <w:rFonts w:hint="eastAsia"/>
          <w:color w:val="0000FF"/>
          <w:sz w:val="24"/>
          <w:highlight w:val="none"/>
          <w:lang w:val="en-US" w:eastAsia="zh-CN"/>
        </w:rPr>
        <w:t>8</w:t>
      </w:r>
      <w:r>
        <w:rPr>
          <w:rFonts w:hint="eastAsia" w:ascii="宋体" w:hAnsi="宋体" w:eastAsia="宋体"/>
          <w:color w:val="0000FF"/>
          <w:sz w:val="24"/>
          <w:highlight w:val="none"/>
        </w:rPr>
        <w:t>）为保障建设工程总平面图消防设计审查顺利实施，中标方须按本项目要求安排专业人员在肥西县住建局307（暂定）办公室驻点服务。驻点服务贯穿合同签订之日起至合同结束后之日，服务时间为每周不少于1个工作日（原则上每周二、周四上午半天）。</w:t>
      </w:r>
    </w:p>
    <w:p w14:paraId="4F600406">
      <w:pPr>
        <w:spacing w:line="560" w:lineRule="exact"/>
        <w:ind w:firstLine="480" w:firstLineChars="200"/>
        <w:rPr>
          <w:rFonts w:hint="eastAsia" w:ascii="宋体" w:hAnsi="宋体" w:eastAsia="宋体"/>
          <w:color w:val="0000FF"/>
          <w:sz w:val="24"/>
          <w:highlight w:val="none"/>
        </w:rPr>
      </w:pPr>
      <w:r>
        <w:rPr>
          <w:rFonts w:hint="eastAsia" w:ascii="宋体" w:hAnsi="宋体" w:eastAsia="宋体"/>
          <w:color w:val="0000FF"/>
          <w:sz w:val="24"/>
          <w:highlight w:val="none"/>
        </w:rPr>
        <w:t>（</w:t>
      </w:r>
      <w:r>
        <w:rPr>
          <w:rFonts w:hint="eastAsia"/>
          <w:color w:val="0000FF"/>
          <w:sz w:val="24"/>
          <w:highlight w:val="none"/>
          <w:lang w:val="en-US" w:eastAsia="zh-CN"/>
        </w:rPr>
        <w:t>9</w:t>
      </w:r>
      <w:r>
        <w:rPr>
          <w:rFonts w:hint="eastAsia" w:ascii="宋体" w:hAnsi="宋体" w:eastAsia="宋体"/>
          <w:color w:val="0000FF"/>
          <w:sz w:val="24"/>
          <w:highlight w:val="none"/>
        </w:rPr>
        <w:t>）中标单位需针对项目需求设置对接机制，如邮箱等，整理项目审查台账并归档，配合发包人的其他项目需求。</w:t>
      </w:r>
    </w:p>
    <w:p w14:paraId="2B7CF0D0">
      <w:pPr>
        <w:spacing w:line="560" w:lineRule="exact"/>
        <w:ind w:firstLine="480" w:firstLineChars="200"/>
        <w:rPr>
          <w:rFonts w:hint="eastAsia"/>
        </w:rPr>
      </w:pPr>
      <w:r>
        <w:rPr>
          <w:rFonts w:hint="eastAsia" w:ascii="宋体" w:hAnsi="宋体" w:eastAsia="宋体"/>
          <w:color w:val="0000FF"/>
          <w:sz w:val="24"/>
          <w:highlight w:val="none"/>
        </w:rPr>
        <w:t xml:space="preserve">注：提供建设工程规划方案总图消防审查的技术服务机构，应当按照法律法规、国家工程建设消防技术标准和国家有关规定提供服务，并对出具的意见或者报告负责。违反有关建设工程法律法规和国家工程建设消防技术标准，除依法给予处罚或者追究刑事责任外，还应当依法承担相应的民事责任，造成的经济损失由成交人全额赔偿。 </w:t>
      </w:r>
    </w:p>
    <w:p w14:paraId="5575F0E6">
      <w:pPr>
        <w:spacing w:line="560" w:lineRule="exact"/>
        <w:ind w:firstLine="480" w:firstLineChars="200"/>
        <w:rPr>
          <w:rFonts w:hint="eastAsia" w:ascii="宋体" w:hAnsi="宋体" w:eastAsia="宋体"/>
          <w:sz w:val="24"/>
          <w:highlight w:val="none"/>
        </w:rPr>
      </w:pPr>
      <w:r>
        <w:rPr>
          <w:rFonts w:hint="eastAsia"/>
          <w:sz w:val="24"/>
          <w:highlight w:val="none"/>
          <w:lang w:val="en-US" w:eastAsia="zh-CN"/>
        </w:rPr>
        <w:t>3</w:t>
      </w:r>
      <w:r>
        <w:rPr>
          <w:rFonts w:hint="eastAsia" w:ascii="宋体" w:hAnsi="宋体" w:eastAsia="宋体"/>
          <w:sz w:val="24"/>
          <w:highlight w:val="none"/>
        </w:rPr>
        <w:t>.人员要求（最低配置）</w:t>
      </w:r>
    </w:p>
    <w:p w14:paraId="64F9A6F6">
      <w:pPr>
        <w:spacing w:line="560" w:lineRule="exact"/>
        <w:ind w:firstLine="480" w:firstLineChars="200"/>
        <w:rPr>
          <w:rFonts w:hint="eastAsia" w:ascii="宋体" w:hAnsi="宋体" w:eastAsia="宋体"/>
          <w:sz w:val="24"/>
          <w:highlight w:val="yellow"/>
          <w:lang w:val="en-US" w:eastAsia="zh-CN"/>
        </w:rPr>
      </w:pPr>
      <w:r>
        <w:rPr>
          <w:rFonts w:hint="eastAsia" w:ascii="宋体" w:hAnsi="宋体" w:eastAsia="宋体"/>
          <w:sz w:val="24"/>
          <w:highlight w:val="none"/>
        </w:rPr>
        <w:t>为全面做好技术服务工作，成交供应商应为本类项目配备一支不少于</w:t>
      </w:r>
      <w:r>
        <w:rPr>
          <w:rFonts w:hint="eastAsia"/>
          <w:sz w:val="24"/>
          <w:highlight w:val="none"/>
          <w:lang w:val="en-US" w:eastAsia="zh-CN"/>
        </w:rPr>
        <w:t>9</w:t>
      </w:r>
      <w:r>
        <w:rPr>
          <w:rFonts w:hint="eastAsia" w:ascii="宋体" w:hAnsi="宋体" w:eastAsia="宋体"/>
          <w:sz w:val="24"/>
          <w:highlight w:val="none"/>
        </w:rPr>
        <w:t>人的专业服务队伍</w:t>
      </w:r>
      <w:r>
        <w:rPr>
          <w:rFonts w:hint="eastAsia"/>
          <w:sz w:val="24"/>
          <w:highlight w:val="none"/>
          <w:lang w:val="en-US" w:eastAsia="zh-CN"/>
        </w:rPr>
        <w:t>.</w:t>
      </w:r>
    </w:p>
    <w:tbl>
      <w:tblPr>
        <w:tblStyle w:val="22"/>
        <w:tblW w:w="9072" w:type="dxa"/>
        <w:tblInd w:w="-459" w:type="dxa"/>
        <w:tblLayout w:type="autofit"/>
        <w:tblCellMar>
          <w:top w:w="0" w:type="dxa"/>
          <w:left w:w="108" w:type="dxa"/>
          <w:bottom w:w="0" w:type="dxa"/>
          <w:right w:w="108" w:type="dxa"/>
        </w:tblCellMar>
      </w:tblPr>
      <w:tblGrid>
        <w:gridCol w:w="807"/>
        <w:gridCol w:w="954"/>
        <w:gridCol w:w="1603"/>
        <w:gridCol w:w="4149"/>
        <w:gridCol w:w="1559"/>
      </w:tblGrid>
      <w:tr w14:paraId="3DC94C63">
        <w:tblPrEx>
          <w:tblCellMar>
            <w:top w:w="0" w:type="dxa"/>
            <w:left w:w="108" w:type="dxa"/>
            <w:bottom w:w="0" w:type="dxa"/>
            <w:right w:w="108" w:type="dxa"/>
          </w:tblCellMar>
        </w:tblPrEx>
        <w:trPr>
          <w:trHeight w:val="555" w:hRule="atLeast"/>
        </w:trPr>
        <w:tc>
          <w:tcPr>
            <w:tcW w:w="807" w:type="dxa"/>
            <w:tcBorders>
              <w:top w:val="single" w:color="auto" w:sz="4" w:space="0"/>
              <w:left w:val="single" w:color="auto" w:sz="4" w:space="0"/>
              <w:bottom w:val="single" w:color="auto" w:sz="4" w:space="0"/>
              <w:right w:val="single" w:color="auto" w:sz="4" w:space="0"/>
            </w:tcBorders>
            <w:vAlign w:val="center"/>
          </w:tcPr>
          <w:p w14:paraId="2551B948">
            <w:pPr>
              <w:spacing w:line="560" w:lineRule="exact"/>
              <w:jc w:val="center"/>
              <w:rPr>
                <w:rFonts w:hint="eastAsia" w:cs="宋体"/>
                <w:b/>
                <w:bCs/>
                <w:sz w:val="24"/>
                <w:szCs w:val="24"/>
              </w:rPr>
            </w:pPr>
            <w:r>
              <w:rPr>
                <w:rFonts w:hint="eastAsia" w:cs="宋体"/>
                <w:b/>
                <w:bCs/>
                <w:sz w:val="24"/>
                <w:szCs w:val="24"/>
              </w:rPr>
              <w:t>序号</w:t>
            </w:r>
          </w:p>
        </w:tc>
        <w:tc>
          <w:tcPr>
            <w:tcW w:w="2557" w:type="dxa"/>
            <w:gridSpan w:val="2"/>
            <w:tcBorders>
              <w:top w:val="single" w:color="auto" w:sz="4" w:space="0"/>
              <w:left w:val="nil"/>
              <w:bottom w:val="single" w:color="auto" w:sz="4" w:space="0"/>
              <w:right w:val="single" w:color="auto" w:sz="4" w:space="0"/>
            </w:tcBorders>
            <w:vAlign w:val="center"/>
          </w:tcPr>
          <w:p w14:paraId="64972546">
            <w:pPr>
              <w:spacing w:line="560" w:lineRule="exact"/>
              <w:jc w:val="center"/>
              <w:rPr>
                <w:rFonts w:hint="eastAsia" w:cs="宋体"/>
                <w:b/>
                <w:bCs/>
                <w:sz w:val="24"/>
                <w:szCs w:val="24"/>
              </w:rPr>
            </w:pPr>
            <w:r>
              <w:rPr>
                <w:rFonts w:hint="eastAsia" w:cs="宋体"/>
                <w:b/>
                <w:bCs/>
                <w:sz w:val="24"/>
                <w:szCs w:val="24"/>
              </w:rPr>
              <w:t>岗位</w:t>
            </w:r>
          </w:p>
        </w:tc>
        <w:tc>
          <w:tcPr>
            <w:tcW w:w="4149" w:type="dxa"/>
            <w:tcBorders>
              <w:top w:val="single" w:color="auto" w:sz="4" w:space="0"/>
              <w:left w:val="nil"/>
              <w:bottom w:val="single" w:color="auto" w:sz="4" w:space="0"/>
              <w:right w:val="single" w:color="auto" w:sz="4" w:space="0"/>
            </w:tcBorders>
            <w:vAlign w:val="center"/>
          </w:tcPr>
          <w:p w14:paraId="3CF3C92E">
            <w:pPr>
              <w:spacing w:line="560" w:lineRule="exact"/>
              <w:jc w:val="center"/>
              <w:rPr>
                <w:rFonts w:hint="eastAsia" w:cs="宋体"/>
                <w:b/>
                <w:bCs/>
                <w:sz w:val="24"/>
                <w:szCs w:val="24"/>
              </w:rPr>
            </w:pPr>
            <w:r>
              <w:rPr>
                <w:rFonts w:hint="eastAsia" w:cs="宋体"/>
                <w:b/>
                <w:bCs/>
                <w:sz w:val="24"/>
                <w:szCs w:val="24"/>
              </w:rPr>
              <w:t>要求</w:t>
            </w:r>
          </w:p>
        </w:tc>
        <w:tc>
          <w:tcPr>
            <w:tcW w:w="1559" w:type="dxa"/>
            <w:tcBorders>
              <w:top w:val="single" w:color="auto" w:sz="4" w:space="0"/>
              <w:left w:val="nil"/>
              <w:bottom w:val="single" w:color="auto" w:sz="4" w:space="0"/>
              <w:right w:val="single" w:color="auto" w:sz="4" w:space="0"/>
            </w:tcBorders>
            <w:vAlign w:val="center"/>
          </w:tcPr>
          <w:p w14:paraId="5461109D">
            <w:pPr>
              <w:spacing w:line="560" w:lineRule="exact"/>
              <w:jc w:val="center"/>
              <w:rPr>
                <w:rFonts w:hint="eastAsia" w:cs="宋体"/>
                <w:b/>
                <w:bCs/>
                <w:sz w:val="24"/>
                <w:szCs w:val="24"/>
              </w:rPr>
            </w:pPr>
            <w:r>
              <w:rPr>
                <w:rFonts w:hint="eastAsia" w:cs="宋体"/>
                <w:b/>
                <w:bCs/>
                <w:sz w:val="24"/>
                <w:szCs w:val="24"/>
              </w:rPr>
              <w:t>人数</w:t>
            </w:r>
          </w:p>
        </w:tc>
      </w:tr>
      <w:tr w14:paraId="7F27D339">
        <w:tblPrEx>
          <w:tblCellMar>
            <w:top w:w="0" w:type="dxa"/>
            <w:left w:w="108" w:type="dxa"/>
            <w:bottom w:w="0" w:type="dxa"/>
            <w:right w:w="108" w:type="dxa"/>
          </w:tblCellMar>
        </w:tblPrEx>
        <w:trPr>
          <w:trHeight w:val="638" w:hRule="atLeast"/>
        </w:trPr>
        <w:tc>
          <w:tcPr>
            <w:tcW w:w="807" w:type="dxa"/>
            <w:tcBorders>
              <w:top w:val="nil"/>
              <w:left w:val="single" w:color="auto" w:sz="4" w:space="0"/>
              <w:bottom w:val="single" w:color="auto" w:sz="4" w:space="0"/>
              <w:right w:val="single" w:color="auto" w:sz="4" w:space="0"/>
            </w:tcBorders>
            <w:vAlign w:val="center"/>
          </w:tcPr>
          <w:p w14:paraId="75EC8109">
            <w:pPr>
              <w:spacing w:line="560" w:lineRule="exact"/>
              <w:jc w:val="center"/>
              <w:rPr>
                <w:rFonts w:hint="eastAsia" w:cs="宋体"/>
                <w:sz w:val="24"/>
                <w:szCs w:val="24"/>
              </w:rPr>
            </w:pPr>
            <w:r>
              <w:rPr>
                <w:rFonts w:hint="eastAsia" w:cs="宋体"/>
                <w:sz w:val="24"/>
                <w:szCs w:val="24"/>
              </w:rPr>
              <w:t>1</w:t>
            </w:r>
          </w:p>
        </w:tc>
        <w:tc>
          <w:tcPr>
            <w:tcW w:w="2557" w:type="dxa"/>
            <w:gridSpan w:val="2"/>
            <w:tcBorders>
              <w:top w:val="nil"/>
              <w:left w:val="nil"/>
              <w:bottom w:val="single" w:color="auto" w:sz="4" w:space="0"/>
              <w:right w:val="single" w:color="auto" w:sz="4" w:space="0"/>
            </w:tcBorders>
            <w:vAlign w:val="center"/>
          </w:tcPr>
          <w:p w14:paraId="4A62C948">
            <w:pPr>
              <w:spacing w:line="560" w:lineRule="exact"/>
              <w:jc w:val="center"/>
              <w:rPr>
                <w:rFonts w:hint="eastAsia" w:cs="宋体"/>
                <w:sz w:val="24"/>
                <w:szCs w:val="24"/>
              </w:rPr>
            </w:pPr>
            <w:r>
              <w:rPr>
                <w:rFonts w:hint="eastAsia" w:cs="宋体"/>
                <w:sz w:val="24"/>
                <w:szCs w:val="24"/>
              </w:rPr>
              <w:t>项目负责人</w:t>
            </w:r>
          </w:p>
        </w:tc>
        <w:tc>
          <w:tcPr>
            <w:tcW w:w="4149" w:type="dxa"/>
            <w:tcBorders>
              <w:top w:val="nil"/>
              <w:left w:val="nil"/>
              <w:bottom w:val="single" w:color="auto" w:sz="4" w:space="0"/>
              <w:right w:val="single" w:color="auto" w:sz="4" w:space="0"/>
            </w:tcBorders>
            <w:vAlign w:val="center"/>
          </w:tcPr>
          <w:p w14:paraId="2972D323">
            <w:pPr>
              <w:spacing w:beforeLines="0" w:afterLines="0"/>
              <w:jc w:val="left"/>
              <w:rPr>
                <w:rFonts w:hint="eastAsia" w:cs="宋体"/>
                <w:sz w:val="24"/>
                <w:szCs w:val="24"/>
              </w:rPr>
            </w:pPr>
            <w:r>
              <w:rPr>
                <w:rFonts w:hint="eastAsia" w:ascii="宋体" w:hAnsi="宋体" w:eastAsia="宋体"/>
                <w:sz w:val="24"/>
                <w:szCs w:val="24"/>
                <w:highlight w:val="none"/>
              </w:rPr>
              <w:t>具有注册公用设备工程师（给水排水）资格证书</w:t>
            </w:r>
            <w:r>
              <w:rPr>
                <w:rFonts w:hint="eastAsia" w:ascii="宋体" w:hAnsi="宋体" w:eastAsia="宋体"/>
                <w:sz w:val="24"/>
                <w:szCs w:val="24"/>
                <w:highlight w:val="none"/>
                <w:lang w:val="en-US" w:eastAsia="zh-CN"/>
              </w:rPr>
              <w:t>和</w:t>
            </w:r>
            <w:r>
              <w:rPr>
                <w:rFonts w:hint="eastAsia"/>
                <w:sz w:val="24"/>
                <w:highlight w:val="none"/>
              </w:rPr>
              <w:t>给排水专业高级及以上职称</w:t>
            </w:r>
          </w:p>
        </w:tc>
        <w:tc>
          <w:tcPr>
            <w:tcW w:w="1559" w:type="dxa"/>
            <w:tcBorders>
              <w:top w:val="single" w:color="auto" w:sz="4" w:space="0"/>
              <w:left w:val="nil"/>
              <w:bottom w:val="single" w:color="auto" w:sz="4" w:space="0"/>
              <w:right w:val="single" w:color="auto" w:sz="4" w:space="0"/>
            </w:tcBorders>
            <w:vAlign w:val="center"/>
          </w:tcPr>
          <w:p w14:paraId="5D2A81F0">
            <w:pPr>
              <w:spacing w:line="560" w:lineRule="exact"/>
              <w:ind w:firstLine="480" w:firstLineChars="200"/>
              <w:rPr>
                <w:rFonts w:hint="eastAsia" w:cs="宋体"/>
                <w:sz w:val="24"/>
                <w:szCs w:val="24"/>
              </w:rPr>
            </w:pPr>
            <w:r>
              <w:rPr>
                <w:rFonts w:hint="eastAsia" w:cs="宋体"/>
                <w:sz w:val="24"/>
                <w:szCs w:val="24"/>
              </w:rPr>
              <w:t>1人</w:t>
            </w:r>
          </w:p>
        </w:tc>
      </w:tr>
      <w:tr w14:paraId="6CA4F4B8">
        <w:tblPrEx>
          <w:tblCellMar>
            <w:top w:w="0" w:type="dxa"/>
            <w:left w:w="108" w:type="dxa"/>
            <w:bottom w:w="0" w:type="dxa"/>
            <w:right w:w="108" w:type="dxa"/>
          </w:tblCellMar>
        </w:tblPrEx>
        <w:trPr>
          <w:trHeight w:val="594" w:hRule="atLeast"/>
        </w:trPr>
        <w:tc>
          <w:tcPr>
            <w:tcW w:w="807" w:type="dxa"/>
            <w:tcBorders>
              <w:top w:val="nil"/>
              <w:left w:val="single" w:color="auto" w:sz="4" w:space="0"/>
              <w:bottom w:val="single" w:color="auto" w:sz="4" w:space="0"/>
              <w:right w:val="single" w:color="auto" w:sz="4" w:space="0"/>
            </w:tcBorders>
            <w:vAlign w:val="center"/>
          </w:tcPr>
          <w:p w14:paraId="1F55D4C4">
            <w:pPr>
              <w:spacing w:line="560" w:lineRule="exact"/>
              <w:jc w:val="center"/>
              <w:rPr>
                <w:rFonts w:hint="eastAsia" w:cs="宋体"/>
                <w:sz w:val="24"/>
                <w:szCs w:val="24"/>
              </w:rPr>
            </w:pPr>
            <w:r>
              <w:rPr>
                <w:rFonts w:hint="eastAsia" w:cs="宋体"/>
                <w:sz w:val="24"/>
                <w:szCs w:val="24"/>
              </w:rPr>
              <w:t>2</w:t>
            </w:r>
          </w:p>
        </w:tc>
        <w:tc>
          <w:tcPr>
            <w:tcW w:w="954" w:type="dxa"/>
            <w:vMerge w:val="restart"/>
            <w:tcBorders>
              <w:top w:val="nil"/>
              <w:left w:val="nil"/>
              <w:right w:val="single" w:color="auto" w:sz="4" w:space="0"/>
            </w:tcBorders>
            <w:vAlign w:val="center"/>
          </w:tcPr>
          <w:p w14:paraId="2BB7DC8C">
            <w:pPr>
              <w:tabs>
                <w:tab w:val="left" w:pos="368"/>
              </w:tabs>
              <w:spacing w:line="560" w:lineRule="exact"/>
              <w:jc w:val="left"/>
              <w:rPr>
                <w:rFonts w:hint="eastAsia" w:cs="宋体"/>
                <w:sz w:val="24"/>
                <w:szCs w:val="24"/>
              </w:rPr>
            </w:pPr>
            <w:r>
              <w:rPr>
                <w:rFonts w:hint="eastAsia" w:cs="宋体"/>
                <w:sz w:val="24"/>
                <w:szCs w:val="24"/>
              </w:rPr>
              <w:t>项目成员</w:t>
            </w:r>
          </w:p>
        </w:tc>
        <w:tc>
          <w:tcPr>
            <w:tcW w:w="1603" w:type="dxa"/>
            <w:tcBorders>
              <w:top w:val="nil"/>
              <w:left w:val="nil"/>
              <w:bottom w:val="single" w:color="auto" w:sz="4" w:space="0"/>
              <w:right w:val="single" w:color="auto" w:sz="4" w:space="0"/>
            </w:tcBorders>
            <w:vAlign w:val="center"/>
          </w:tcPr>
          <w:p w14:paraId="25E60A0D">
            <w:pPr>
              <w:spacing w:line="560" w:lineRule="exact"/>
              <w:jc w:val="center"/>
              <w:rPr>
                <w:rFonts w:hint="eastAsia" w:cs="宋体"/>
                <w:sz w:val="24"/>
                <w:szCs w:val="24"/>
              </w:rPr>
            </w:pPr>
            <w:r>
              <w:rPr>
                <w:rFonts w:hint="eastAsia" w:cs="宋体"/>
                <w:sz w:val="24"/>
                <w:szCs w:val="24"/>
              </w:rPr>
              <w:t>专业负责人</w:t>
            </w:r>
            <w:r>
              <w:rPr>
                <w:rFonts w:hint="eastAsia" w:cs="宋体"/>
                <w:sz w:val="24"/>
                <w:szCs w:val="24"/>
                <w:lang w:eastAsia="zh-CN"/>
              </w:rPr>
              <w:t>（</w:t>
            </w:r>
            <w:r>
              <w:rPr>
                <w:rFonts w:hint="eastAsia" w:cs="宋体"/>
                <w:sz w:val="24"/>
                <w:szCs w:val="24"/>
                <w:lang w:val="en-US" w:eastAsia="zh-CN"/>
              </w:rPr>
              <w:t>排水方案、管线综合审查</w:t>
            </w:r>
            <w:r>
              <w:rPr>
                <w:rFonts w:hint="eastAsia" w:cs="宋体"/>
                <w:sz w:val="24"/>
                <w:szCs w:val="24"/>
                <w:lang w:eastAsia="zh-CN"/>
              </w:rPr>
              <w:t>）</w:t>
            </w:r>
          </w:p>
        </w:tc>
        <w:tc>
          <w:tcPr>
            <w:tcW w:w="4149" w:type="dxa"/>
            <w:tcBorders>
              <w:top w:val="nil"/>
              <w:left w:val="nil"/>
              <w:bottom w:val="single" w:color="auto" w:sz="4" w:space="0"/>
              <w:right w:val="single" w:color="auto" w:sz="4" w:space="0"/>
            </w:tcBorders>
            <w:vAlign w:val="center"/>
          </w:tcPr>
          <w:p w14:paraId="07324773">
            <w:pPr>
              <w:spacing w:line="560" w:lineRule="exact"/>
              <w:jc w:val="center"/>
              <w:rPr>
                <w:rFonts w:hint="eastAsia" w:cs="宋体"/>
                <w:sz w:val="24"/>
                <w:szCs w:val="24"/>
              </w:rPr>
            </w:pPr>
            <w:r>
              <w:rPr>
                <w:rFonts w:hint="eastAsia"/>
                <w:sz w:val="24"/>
              </w:rPr>
              <w:t>具有给排水专业高级及以上职称</w:t>
            </w:r>
          </w:p>
        </w:tc>
        <w:tc>
          <w:tcPr>
            <w:tcW w:w="1559" w:type="dxa"/>
            <w:tcBorders>
              <w:top w:val="single" w:color="auto" w:sz="4" w:space="0"/>
              <w:left w:val="nil"/>
              <w:bottom w:val="single" w:color="auto" w:sz="4" w:space="0"/>
              <w:right w:val="single" w:color="auto" w:sz="4" w:space="0"/>
            </w:tcBorders>
            <w:vAlign w:val="center"/>
          </w:tcPr>
          <w:p w14:paraId="717CF0EC">
            <w:pPr>
              <w:spacing w:line="560" w:lineRule="exact"/>
              <w:ind w:firstLine="480" w:firstLineChars="200"/>
              <w:rPr>
                <w:rFonts w:hint="eastAsia" w:cs="宋体"/>
                <w:sz w:val="24"/>
                <w:szCs w:val="24"/>
              </w:rPr>
            </w:pPr>
            <w:r>
              <w:rPr>
                <w:rFonts w:hint="eastAsia" w:cs="宋体"/>
                <w:sz w:val="24"/>
                <w:szCs w:val="24"/>
                <w:lang w:val="en-US" w:eastAsia="zh-CN"/>
              </w:rPr>
              <w:t>2</w:t>
            </w:r>
            <w:r>
              <w:rPr>
                <w:rFonts w:hint="eastAsia" w:cs="宋体"/>
                <w:sz w:val="24"/>
                <w:szCs w:val="24"/>
              </w:rPr>
              <w:t>人</w:t>
            </w:r>
          </w:p>
        </w:tc>
      </w:tr>
      <w:tr w14:paraId="5E5258A8">
        <w:tblPrEx>
          <w:tblCellMar>
            <w:top w:w="0" w:type="dxa"/>
            <w:left w:w="108" w:type="dxa"/>
            <w:bottom w:w="0" w:type="dxa"/>
            <w:right w:w="108" w:type="dxa"/>
          </w:tblCellMar>
        </w:tblPrEx>
        <w:trPr>
          <w:trHeight w:val="594" w:hRule="atLeast"/>
        </w:trPr>
        <w:tc>
          <w:tcPr>
            <w:tcW w:w="807" w:type="dxa"/>
            <w:tcBorders>
              <w:top w:val="nil"/>
              <w:left w:val="single" w:color="auto" w:sz="4" w:space="0"/>
              <w:bottom w:val="single" w:color="auto" w:sz="4" w:space="0"/>
              <w:right w:val="single" w:color="auto" w:sz="4" w:space="0"/>
            </w:tcBorders>
            <w:vAlign w:val="center"/>
          </w:tcPr>
          <w:p w14:paraId="77066776">
            <w:pPr>
              <w:spacing w:line="560" w:lineRule="exact"/>
              <w:jc w:val="center"/>
              <w:rPr>
                <w:rFonts w:hint="eastAsia" w:eastAsia="宋体" w:cs="宋体"/>
                <w:sz w:val="24"/>
                <w:szCs w:val="24"/>
                <w:lang w:val="en-US" w:eastAsia="zh-CN"/>
              </w:rPr>
            </w:pPr>
            <w:r>
              <w:rPr>
                <w:rFonts w:hint="eastAsia" w:cs="宋体"/>
                <w:sz w:val="24"/>
                <w:szCs w:val="24"/>
                <w:lang w:val="en-US" w:eastAsia="zh-CN"/>
              </w:rPr>
              <w:t>3</w:t>
            </w:r>
          </w:p>
        </w:tc>
        <w:tc>
          <w:tcPr>
            <w:tcW w:w="954" w:type="dxa"/>
            <w:vMerge w:val="continue"/>
            <w:tcBorders>
              <w:left w:val="nil"/>
              <w:right w:val="single" w:color="auto" w:sz="4" w:space="0"/>
            </w:tcBorders>
            <w:vAlign w:val="center"/>
          </w:tcPr>
          <w:p w14:paraId="1E8C21E7">
            <w:pPr>
              <w:tabs>
                <w:tab w:val="left" w:pos="368"/>
              </w:tabs>
              <w:spacing w:line="560" w:lineRule="exact"/>
              <w:jc w:val="left"/>
              <w:rPr>
                <w:rFonts w:hint="eastAsia" w:cs="宋体"/>
                <w:sz w:val="24"/>
                <w:szCs w:val="24"/>
              </w:rPr>
            </w:pPr>
          </w:p>
        </w:tc>
        <w:tc>
          <w:tcPr>
            <w:tcW w:w="1603" w:type="dxa"/>
            <w:tcBorders>
              <w:top w:val="nil"/>
              <w:left w:val="nil"/>
              <w:bottom w:val="single" w:color="auto" w:sz="4" w:space="0"/>
              <w:right w:val="single" w:color="auto" w:sz="4" w:space="0"/>
            </w:tcBorders>
            <w:vAlign w:val="center"/>
          </w:tcPr>
          <w:p w14:paraId="2ED9BDF3">
            <w:pPr>
              <w:spacing w:line="560" w:lineRule="exact"/>
              <w:jc w:val="center"/>
              <w:rPr>
                <w:rFonts w:hint="eastAsia" w:eastAsia="宋体" w:cs="宋体"/>
                <w:color w:val="0000FF"/>
                <w:sz w:val="24"/>
                <w:szCs w:val="24"/>
                <w:highlight w:val="none"/>
                <w:lang w:eastAsia="zh-CN"/>
              </w:rPr>
            </w:pPr>
            <w:r>
              <w:rPr>
                <w:rFonts w:hint="eastAsia" w:cs="宋体"/>
                <w:color w:val="0000FF"/>
                <w:sz w:val="24"/>
                <w:szCs w:val="24"/>
                <w:highlight w:val="none"/>
              </w:rPr>
              <w:t>专业负责人</w:t>
            </w:r>
            <w:r>
              <w:rPr>
                <w:rFonts w:hint="eastAsia" w:cs="宋体"/>
                <w:color w:val="0000FF"/>
                <w:sz w:val="24"/>
                <w:szCs w:val="24"/>
                <w:highlight w:val="none"/>
                <w:lang w:eastAsia="zh-CN"/>
              </w:rPr>
              <w:t>（</w:t>
            </w:r>
            <w:r>
              <w:rPr>
                <w:rFonts w:hint="eastAsia" w:cs="宋体"/>
                <w:color w:val="0000FF"/>
                <w:sz w:val="24"/>
                <w:szCs w:val="24"/>
                <w:highlight w:val="none"/>
                <w:lang w:val="en-US" w:eastAsia="zh-CN"/>
              </w:rPr>
              <w:t>消防审查</w:t>
            </w:r>
            <w:r>
              <w:rPr>
                <w:rFonts w:hint="eastAsia" w:cs="宋体"/>
                <w:color w:val="0000FF"/>
                <w:sz w:val="24"/>
                <w:szCs w:val="24"/>
                <w:highlight w:val="none"/>
                <w:lang w:eastAsia="zh-CN"/>
              </w:rPr>
              <w:t>）</w:t>
            </w:r>
          </w:p>
        </w:tc>
        <w:tc>
          <w:tcPr>
            <w:tcW w:w="4149" w:type="dxa"/>
            <w:tcBorders>
              <w:top w:val="nil"/>
              <w:left w:val="nil"/>
              <w:bottom w:val="single" w:color="auto" w:sz="4" w:space="0"/>
              <w:right w:val="single" w:color="auto" w:sz="4" w:space="0"/>
            </w:tcBorders>
            <w:vAlign w:val="center"/>
          </w:tcPr>
          <w:p w14:paraId="0E4920FB">
            <w:pPr>
              <w:spacing w:line="560" w:lineRule="exact"/>
              <w:jc w:val="center"/>
              <w:rPr>
                <w:rFonts w:hint="eastAsia" w:cs="宋体"/>
                <w:color w:val="0000FF"/>
                <w:sz w:val="24"/>
                <w:szCs w:val="24"/>
                <w:highlight w:val="none"/>
              </w:rPr>
            </w:pPr>
            <w:r>
              <w:rPr>
                <w:rFonts w:hint="eastAsia" w:cs="宋体"/>
                <w:color w:val="0000FF"/>
                <w:sz w:val="24"/>
                <w:szCs w:val="24"/>
                <w:highlight w:val="none"/>
              </w:rPr>
              <w:t>具有一级注册建筑师执业资格证书</w:t>
            </w:r>
            <w:r>
              <w:rPr>
                <w:rFonts w:hint="eastAsia" w:cs="宋体"/>
                <w:color w:val="0000FF"/>
                <w:sz w:val="24"/>
                <w:szCs w:val="24"/>
                <w:highlight w:val="none"/>
                <w:lang w:val="en-US" w:eastAsia="zh-CN"/>
              </w:rPr>
              <w:t>和</w:t>
            </w:r>
            <w:r>
              <w:rPr>
                <w:rFonts w:hint="eastAsia" w:cs="宋体"/>
                <w:color w:val="0000FF"/>
                <w:sz w:val="24"/>
                <w:szCs w:val="24"/>
                <w:highlight w:val="none"/>
              </w:rPr>
              <w:t>建筑工程相关专业高级及以上职称</w:t>
            </w:r>
          </w:p>
        </w:tc>
        <w:tc>
          <w:tcPr>
            <w:tcW w:w="1559" w:type="dxa"/>
            <w:tcBorders>
              <w:top w:val="single" w:color="auto" w:sz="4" w:space="0"/>
              <w:left w:val="nil"/>
              <w:bottom w:val="single" w:color="auto" w:sz="4" w:space="0"/>
              <w:right w:val="single" w:color="auto" w:sz="4" w:space="0"/>
            </w:tcBorders>
            <w:vAlign w:val="center"/>
          </w:tcPr>
          <w:p w14:paraId="4F414250">
            <w:pPr>
              <w:spacing w:line="560" w:lineRule="exact"/>
              <w:ind w:firstLine="480" w:firstLineChars="200"/>
              <w:rPr>
                <w:rFonts w:hint="default" w:eastAsia="宋体" w:cs="宋体"/>
                <w:color w:val="0000FF"/>
                <w:sz w:val="24"/>
                <w:szCs w:val="24"/>
                <w:highlight w:val="none"/>
                <w:lang w:val="en-US" w:eastAsia="zh-CN"/>
              </w:rPr>
            </w:pPr>
            <w:r>
              <w:rPr>
                <w:rFonts w:hint="eastAsia" w:cs="宋体"/>
                <w:color w:val="0000FF"/>
                <w:sz w:val="24"/>
                <w:szCs w:val="24"/>
                <w:highlight w:val="none"/>
                <w:lang w:val="en-US" w:eastAsia="zh-CN"/>
              </w:rPr>
              <w:t>1人</w:t>
            </w:r>
          </w:p>
        </w:tc>
      </w:tr>
      <w:tr w14:paraId="526BFBAA">
        <w:tblPrEx>
          <w:tblCellMar>
            <w:top w:w="0" w:type="dxa"/>
            <w:left w:w="108" w:type="dxa"/>
            <w:bottom w:w="0" w:type="dxa"/>
            <w:right w:w="108" w:type="dxa"/>
          </w:tblCellMar>
        </w:tblPrEx>
        <w:trPr>
          <w:trHeight w:val="1303" w:hRule="atLeast"/>
        </w:trPr>
        <w:tc>
          <w:tcPr>
            <w:tcW w:w="807" w:type="dxa"/>
            <w:tcBorders>
              <w:top w:val="single" w:color="auto" w:sz="4" w:space="0"/>
              <w:left w:val="single" w:color="auto" w:sz="4" w:space="0"/>
              <w:bottom w:val="single" w:color="auto" w:sz="4" w:space="0"/>
              <w:right w:val="single" w:color="auto" w:sz="4" w:space="0"/>
            </w:tcBorders>
            <w:vAlign w:val="center"/>
          </w:tcPr>
          <w:p w14:paraId="16713706">
            <w:pPr>
              <w:spacing w:line="560" w:lineRule="exact"/>
              <w:jc w:val="center"/>
              <w:rPr>
                <w:rFonts w:hint="eastAsia" w:eastAsia="宋体" w:cs="宋体"/>
                <w:sz w:val="24"/>
                <w:szCs w:val="24"/>
                <w:lang w:val="en-US" w:eastAsia="zh-CN"/>
              </w:rPr>
            </w:pPr>
            <w:r>
              <w:rPr>
                <w:rFonts w:hint="eastAsia" w:cs="宋体"/>
                <w:sz w:val="24"/>
                <w:szCs w:val="24"/>
                <w:lang w:val="en-US" w:eastAsia="zh-CN"/>
              </w:rPr>
              <w:t>4</w:t>
            </w:r>
          </w:p>
        </w:tc>
        <w:tc>
          <w:tcPr>
            <w:tcW w:w="954" w:type="dxa"/>
            <w:vMerge w:val="continue"/>
            <w:tcBorders>
              <w:left w:val="nil"/>
              <w:bottom w:val="single" w:color="auto" w:sz="4" w:space="0"/>
              <w:right w:val="single" w:color="auto" w:sz="4" w:space="0"/>
            </w:tcBorders>
            <w:vAlign w:val="center"/>
          </w:tcPr>
          <w:p w14:paraId="4FF7CD04">
            <w:pPr>
              <w:spacing w:line="560" w:lineRule="exact"/>
              <w:jc w:val="center"/>
              <w:rPr>
                <w:rFonts w:hint="eastAsia" w:cs="宋体"/>
                <w:sz w:val="24"/>
                <w:szCs w:val="24"/>
              </w:rPr>
            </w:pPr>
          </w:p>
        </w:tc>
        <w:tc>
          <w:tcPr>
            <w:tcW w:w="1603" w:type="dxa"/>
            <w:tcBorders>
              <w:top w:val="single" w:color="auto" w:sz="4" w:space="0"/>
              <w:left w:val="nil"/>
              <w:bottom w:val="single" w:color="auto" w:sz="4" w:space="0"/>
              <w:right w:val="single" w:color="auto" w:sz="4" w:space="0"/>
            </w:tcBorders>
            <w:vAlign w:val="center"/>
          </w:tcPr>
          <w:p w14:paraId="6A9A19A9">
            <w:pPr>
              <w:spacing w:line="560" w:lineRule="exact"/>
              <w:jc w:val="center"/>
              <w:rPr>
                <w:rFonts w:hint="eastAsia" w:cs="宋体"/>
                <w:sz w:val="24"/>
                <w:szCs w:val="24"/>
              </w:rPr>
            </w:pPr>
            <w:r>
              <w:rPr>
                <w:rFonts w:hint="eastAsia" w:cs="宋体"/>
                <w:sz w:val="24"/>
                <w:szCs w:val="24"/>
              </w:rPr>
              <w:t>其他成员</w:t>
            </w:r>
          </w:p>
        </w:tc>
        <w:tc>
          <w:tcPr>
            <w:tcW w:w="4149" w:type="dxa"/>
            <w:tcBorders>
              <w:top w:val="single" w:color="auto" w:sz="4" w:space="0"/>
              <w:left w:val="nil"/>
              <w:bottom w:val="single" w:color="auto" w:sz="4" w:space="0"/>
              <w:right w:val="single" w:color="auto" w:sz="4" w:space="0"/>
            </w:tcBorders>
            <w:vAlign w:val="center"/>
          </w:tcPr>
          <w:p w14:paraId="4A3DE4A2">
            <w:pPr>
              <w:spacing w:line="560" w:lineRule="exact"/>
              <w:jc w:val="center"/>
              <w:rPr>
                <w:rFonts w:hint="eastAsia" w:cs="宋体"/>
                <w:sz w:val="24"/>
                <w:szCs w:val="24"/>
                <w:highlight w:val="none"/>
              </w:rPr>
            </w:pPr>
            <w:r>
              <w:rPr>
                <w:rFonts w:hint="eastAsia" w:cs="宋体"/>
                <w:sz w:val="24"/>
                <w:szCs w:val="24"/>
                <w:highlight w:val="none"/>
              </w:rPr>
              <w:t>具有规划、给排水、</w:t>
            </w:r>
            <w:r>
              <w:rPr>
                <w:rFonts w:hint="eastAsia" w:cs="宋体"/>
                <w:sz w:val="24"/>
                <w:szCs w:val="24"/>
                <w:highlight w:val="none"/>
                <w:lang w:val="en-US" w:eastAsia="zh-CN"/>
              </w:rPr>
              <w:t>消防或建筑工程</w:t>
            </w:r>
            <w:r>
              <w:rPr>
                <w:rFonts w:hint="eastAsia" w:cs="宋体"/>
                <w:sz w:val="24"/>
                <w:szCs w:val="24"/>
                <w:highlight w:val="none"/>
              </w:rPr>
              <w:t>、市政、环境工程等相关工作经验</w:t>
            </w:r>
          </w:p>
        </w:tc>
        <w:tc>
          <w:tcPr>
            <w:tcW w:w="1559" w:type="dxa"/>
            <w:tcBorders>
              <w:top w:val="single" w:color="auto" w:sz="4" w:space="0"/>
              <w:left w:val="nil"/>
              <w:bottom w:val="single" w:color="auto" w:sz="4" w:space="0"/>
              <w:right w:val="single" w:color="auto" w:sz="4" w:space="0"/>
            </w:tcBorders>
            <w:vAlign w:val="center"/>
          </w:tcPr>
          <w:p w14:paraId="34577F4E">
            <w:pPr>
              <w:spacing w:line="560" w:lineRule="exact"/>
              <w:ind w:firstLine="480" w:firstLineChars="200"/>
              <w:rPr>
                <w:rFonts w:hint="eastAsia" w:cs="宋体"/>
                <w:sz w:val="24"/>
                <w:szCs w:val="24"/>
                <w:highlight w:val="yellow"/>
              </w:rPr>
            </w:pPr>
            <w:r>
              <w:rPr>
                <w:rFonts w:hint="eastAsia" w:cs="宋体"/>
                <w:sz w:val="24"/>
                <w:szCs w:val="24"/>
                <w:highlight w:val="none"/>
                <w:lang w:val="en-US" w:eastAsia="zh-CN"/>
              </w:rPr>
              <w:t>5</w:t>
            </w:r>
            <w:r>
              <w:rPr>
                <w:rFonts w:hint="eastAsia" w:cs="宋体"/>
                <w:sz w:val="24"/>
                <w:szCs w:val="24"/>
                <w:highlight w:val="none"/>
              </w:rPr>
              <w:t>人</w:t>
            </w:r>
          </w:p>
        </w:tc>
      </w:tr>
      <w:tr w14:paraId="762B0335">
        <w:tblPrEx>
          <w:tblCellMar>
            <w:top w:w="0" w:type="dxa"/>
            <w:left w:w="108" w:type="dxa"/>
            <w:bottom w:w="0" w:type="dxa"/>
            <w:right w:w="108" w:type="dxa"/>
          </w:tblCellMar>
        </w:tblPrEx>
        <w:trPr>
          <w:trHeight w:val="537" w:hRule="atLeast"/>
        </w:trPr>
        <w:tc>
          <w:tcPr>
            <w:tcW w:w="7513" w:type="dxa"/>
            <w:gridSpan w:val="4"/>
            <w:tcBorders>
              <w:top w:val="single" w:color="auto" w:sz="4" w:space="0"/>
              <w:left w:val="single" w:color="auto" w:sz="4" w:space="0"/>
              <w:bottom w:val="single" w:color="auto" w:sz="4" w:space="0"/>
              <w:right w:val="single" w:color="auto" w:sz="4" w:space="0"/>
            </w:tcBorders>
            <w:vAlign w:val="center"/>
          </w:tcPr>
          <w:p w14:paraId="2D23251F">
            <w:pPr>
              <w:spacing w:line="560" w:lineRule="exact"/>
              <w:jc w:val="center"/>
              <w:rPr>
                <w:rFonts w:hint="eastAsia" w:cs="宋体"/>
                <w:sz w:val="24"/>
                <w:szCs w:val="24"/>
              </w:rPr>
            </w:pPr>
            <w:r>
              <w:rPr>
                <w:rFonts w:hint="eastAsia" w:cs="宋体"/>
                <w:sz w:val="24"/>
                <w:szCs w:val="24"/>
              </w:rPr>
              <w:t>合  计</w:t>
            </w:r>
          </w:p>
        </w:tc>
        <w:tc>
          <w:tcPr>
            <w:tcW w:w="1559" w:type="dxa"/>
            <w:tcBorders>
              <w:top w:val="single" w:color="auto" w:sz="4" w:space="0"/>
              <w:left w:val="nil"/>
              <w:bottom w:val="single" w:color="auto" w:sz="4" w:space="0"/>
              <w:right w:val="single" w:color="auto" w:sz="4" w:space="0"/>
            </w:tcBorders>
            <w:vAlign w:val="center"/>
          </w:tcPr>
          <w:p w14:paraId="03669EEB">
            <w:pPr>
              <w:spacing w:line="560" w:lineRule="exact"/>
              <w:ind w:firstLine="480" w:firstLineChars="200"/>
              <w:rPr>
                <w:rFonts w:hint="eastAsia" w:cs="宋体"/>
                <w:sz w:val="24"/>
                <w:szCs w:val="24"/>
                <w:highlight w:val="yellow"/>
              </w:rPr>
            </w:pPr>
            <w:r>
              <w:rPr>
                <w:rFonts w:hint="eastAsia" w:cs="宋体"/>
                <w:sz w:val="24"/>
                <w:szCs w:val="24"/>
                <w:highlight w:val="none"/>
                <w:lang w:val="en-US" w:eastAsia="zh-CN"/>
              </w:rPr>
              <w:t>9</w:t>
            </w:r>
            <w:r>
              <w:rPr>
                <w:rFonts w:hint="eastAsia" w:cs="宋体"/>
                <w:sz w:val="24"/>
                <w:szCs w:val="24"/>
                <w:highlight w:val="none"/>
              </w:rPr>
              <w:t>人</w:t>
            </w:r>
          </w:p>
        </w:tc>
      </w:tr>
    </w:tbl>
    <w:p w14:paraId="378B0B56">
      <w:pPr>
        <w:spacing w:line="560" w:lineRule="exact"/>
        <w:ind w:firstLine="482" w:firstLineChars="200"/>
        <w:rPr>
          <w:rFonts w:hint="default" w:eastAsia="宋体" w:cs="宋体"/>
          <w:b/>
          <w:bCs/>
          <w:sz w:val="24"/>
          <w:szCs w:val="24"/>
          <w:lang w:val="en-US" w:eastAsia="zh-CN"/>
        </w:rPr>
      </w:pPr>
      <w:r>
        <w:rPr>
          <w:rFonts w:hint="eastAsia" w:asciiTheme="minorEastAsia" w:hAnsiTheme="minorEastAsia" w:eastAsiaTheme="minorEastAsia"/>
          <w:b/>
          <w:bCs/>
          <w:sz w:val="24"/>
        </w:rPr>
        <w:t>注：</w:t>
      </w:r>
      <w:r>
        <w:rPr>
          <w:rFonts w:hint="eastAsia" w:cs="宋体"/>
          <w:b/>
          <w:bCs/>
          <w:sz w:val="24"/>
          <w:szCs w:val="24"/>
        </w:rPr>
        <w:t>成交供应商为本项目配备的专职服务人员应保持稳定，人员调整前须提前一个月告知采购人，经采购人同意后方可调整，且调整后的人员要求不得低于磋商文件要求。</w:t>
      </w:r>
      <w:r>
        <w:rPr>
          <w:rFonts w:hint="eastAsia" w:cs="宋体"/>
          <w:b/>
          <w:bCs/>
          <w:sz w:val="24"/>
          <w:szCs w:val="24"/>
          <w:lang w:val="en-US" w:eastAsia="zh-CN"/>
        </w:rPr>
        <w:t>除项目负责人外，其余人员不作为初步评审要求，所有人员证书、社保、工作经验等证明材料成交后备查。</w:t>
      </w:r>
    </w:p>
    <w:p w14:paraId="031A1661">
      <w:pPr>
        <w:spacing w:line="560" w:lineRule="exact"/>
        <w:ind w:firstLine="482" w:firstLineChars="200"/>
        <w:rPr>
          <w:rFonts w:hint="eastAsia" w:ascii="宋体" w:hAnsi="宋体" w:eastAsia="宋体"/>
          <w:b/>
          <w:sz w:val="24"/>
          <w:szCs w:val="18"/>
        </w:rPr>
      </w:pPr>
      <w:r>
        <w:rPr>
          <w:rFonts w:hint="eastAsia" w:ascii="宋体" w:hAnsi="宋体" w:eastAsia="宋体"/>
          <w:b/>
          <w:bCs/>
          <w:color w:val="auto"/>
          <w:sz w:val="24"/>
          <w:highlight w:val="none"/>
        </w:rPr>
        <w:t>（</w:t>
      </w:r>
      <w:r>
        <w:rPr>
          <w:rFonts w:hint="eastAsia"/>
          <w:b/>
          <w:bCs/>
          <w:color w:val="auto"/>
          <w:sz w:val="24"/>
          <w:highlight w:val="none"/>
          <w:lang w:val="en-US" w:eastAsia="zh-CN"/>
        </w:rPr>
        <w:t>二</w:t>
      </w:r>
      <w:r>
        <w:rPr>
          <w:rFonts w:hint="eastAsia" w:ascii="宋体" w:hAnsi="宋体" w:eastAsia="宋体"/>
          <w:b/>
          <w:bCs/>
          <w:color w:val="auto"/>
          <w:sz w:val="24"/>
          <w:highlight w:val="none"/>
        </w:rPr>
        <w:t>）</w:t>
      </w:r>
      <w:r>
        <w:rPr>
          <w:rFonts w:hint="eastAsia" w:ascii="宋体" w:hAnsi="宋体" w:eastAsia="宋体"/>
          <w:b/>
          <w:sz w:val="24"/>
          <w:szCs w:val="18"/>
        </w:rPr>
        <w:t>其他要求</w:t>
      </w:r>
    </w:p>
    <w:p w14:paraId="0D99C569">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1、成交供应商按磋商文件要求提交设计成果，并负责根据专家评审意见及相关部门意见深化完善设计成果；</w:t>
      </w:r>
    </w:p>
    <w:p w14:paraId="640AFF45">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2、设计成果使用权：采购人对各供应商的工程设计方案成果，在本工程优化设计时具有使用权。</w:t>
      </w:r>
    </w:p>
    <w:p w14:paraId="3C5B821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3、设计资料全部由供应商自行收集或购买，采购人不承担提供资料等相关责任； </w:t>
      </w:r>
    </w:p>
    <w:p w14:paraId="70DFC486">
      <w:pPr>
        <w:spacing w:line="5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4、项目前期阶段和施工过程必须按采购人要求和工程进度需要派专人做好现场技术服务； </w:t>
      </w:r>
    </w:p>
    <w:p w14:paraId="3FEEE281">
      <w:pPr>
        <w:spacing w:line="560" w:lineRule="exact"/>
        <w:ind w:firstLine="480" w:firstLineChars="200"/>
        <w:rPr>
          <w:rFonts w:hint="eastAsia" w:ascii="宋体" w:hAnsi="宋体" w:eastAsia="宋体" w:cs="宋体"/>
          <w:sz w:val="24"/>
          <w:szCs w:val="24"/>
        </w:rPr>
      </w:pPr>
      <w:r>
        <w:rPr>
          <w:rFonts w:hint="eastAsia" w:cs="宋体"/>
          <w:sz w:val="24"/>
          <w:szCs w:val="24"/>
          <w:lang w:val="en-US" w:eastAsia="zh-CN"/>
        </w:rPr>
        <w:t>5</w:t>
      </w:r>
      <w:r>
        <w:rPr>
          <w:rFonts w:hint="eastAsia" w:ascii="宋体" w:hAnsi="宋体" w:eastAsia="宋体" w:cs="宋体"/>
          <w:sz w:val="24"/>
          <w:szCs w:val="24"/>
        </w:rPr>
        <w:t xml:space="preserve">、成交供应商须派专人配合采购人做好前期方案汇报；负责会议记录、备忘录整理； </w:t>
      </w:r>
    </w:p>
    <w:p w14:paraId="1A81CB70">
      <w:pPr>
        <w:spacing w:line="560" w:lineRule="exact"/>
        <w:ind w:firstLine="480" w:firstLineChars="200"/>
        <w:rPr>
          <w:rFonts w:hint="eastAsia" w:ascii="宋体" w:hAnsi="宋体" w:eastAsia="宋体" w:cs="宋体"/>
          <w:sz w:val="24"/>
          <w:szCs w:val="24"/>
          <w:lang w:eastAsia="zh-CN"/>
        </w:rPr>
      </w:pPr>
      <w:r>
        <w:rPr>
          <w:rFonts w:hint="eastAsia" w:cs="宋体"/>
          <w:sz w:val="24"/>
          <w:szCs w:val="24"/>
          <w:lang w:val="en-US" w:eastAsia="zh-CN"/>
        </w:rPr>
        <w:t>6</w:t>
      </w:r>
      <w:r>
        <w:rPr>
          <w:rFonts w:hint="eastAsia" w:ascii="宋体" w:hAnsi="宋体" w:eastAsia="宋体" w:cs="宋体"/>
          <w:sz w:val="24"/>
          <w:szCs w:val="24"/>
        </w:rPr>
        <w:t>、汛期配合业主做好内涝积水点的应急服务工作。</w:t>
      </w:r>
    </w:p>
    <w:p w14:paraId="624944E9">
      <w:pPr>
        <w:spacing w:line="560" w:lineRule="exact"/>
        <w:ind w:firstLine="482" w:firstLineChars="200"/>
        <w:rPr>
          <w:rFonts w:ascii="宋体" w:hAnsi="宋体" w:eastAsia="宋体" w:cs="宋体"/>
          <w:b/>
          <w:bCs/>
          <w:sz w:val="24"/>
          <w:szCs w:val="24"/>
        </w:rPr>
      </w:pPr>
      <w:r>
        <w:rPr>
          <w:rFonts w:hint="eastAsia" w:cs="宋体"/>
          <w:b/>
          <w:bCs/>
          <w:sz w:val="24"/>
          <w:szCs w:val="24"/>
          <w:lang w:val="en-US" w:eastAsia="zh-CN"/>
        </w:rPr>
        <w:t>五</w:t>
      </w:r>
      <w:r>
        <w:rPr>
          <w:rFonts w:hint="eastAsia" w:ascii="宋体" w:hAnsi="宋体" w:eastAsia="宋体" w:cs="宋体"/>
          <w:b/>
          <w:bCs/>
          <w:sz w:val="24"/>
          <w:szCs w:val="24"/>
        </w:rPr>
        <w:t>、报价要求</w:t>
      </w:r>
    </w:p>
    <w:p w14:paraId="6846E241">
      <w:pPr>
        <w:spacing w:line="560" w:lineRule="exact"/>
        <w:ind w:firstLine="480" w:firstLineChars="200"/>
        <w:rPr>
          <w:rFonts w:ascii="宋体" w:hAnsi="宋体" w:eastAsia="宋体" w:cs="宋体"/>
          <w:sz w:val="24"/>
          <w:szCs w:val="24"/>
        </w:rPr>
      </w:pPr>
      <w:r>
        <w:rPr>
          <w:rFonts w:hint="eastAsia" w:asciiTheme="minorEastAsia" w:hAnsiTheme="minorEastAsia" w:eastAsiaTheme="minorEastAsia"/>
          <w:sz w:val="24"/>
        </w:rPr>
        <w:t>本项目按费率报价，费率不</w:t>
      </w:r>
      <w:r>
        <w:rPr>
          <w:rFonts w:hint="eastAsia" w:asciiTheme="minorEastAsia" w:hAnsiTheme="minorEastAsia" w:eastAsiaTheme="minorEastAsia"/>
          <w:sz w:val="24"/>
          <w:lang w:eastAsia="zh-CN"/>
        </w:rPr>
        <w:t>得</w:t>
      </w:r>
      <w:r>
        <w:rPr>
          <w:rFonts w:hint="eastAsia" w:asciiTheme="minorEastAsia" w:hAnsiTheme="minorEastAsia" w:eastAsiaTheme="minorEastAsia"/>
          <w:sz w:val="24"/>
        </w:rPr>
        <w:t>超过100%。最终结算不超过</w:t>
      </w:r>
      <w:r>
        <w:rPr>
          <w:rFonts w:hint="eastAsia" w:asciiTheme="minorEastAsia" w:hAnsiTheme="minorEastAsia" w:eastAsiaTheme="minorEastAsia"/>
          <w:sz w:val="24"/>
          <w:lang w:val="en-US" w:eastAsia="zh-CN"/>
        </w:rPr>
        <w:t>50</w:t>
      </w:r>
      <w:r>
        <w:rPr>
          <w:rFonts w:hint="eastAsia" w:asciiTheme="minorEastAsia" w:hAnsiTheme="minorEastAsia" w:eastAsiaTheme="minorEastAsia"/>
          <w:sz w:val="24"/>
        </w:rPr>
        <w:t>0万元，为完成本项目的全部费用，其组成包括但不限于人员工资、设备、交通、耗材、税金、利润、劳动保险费、合同工期内的风险费用等为完成本项目所发生的一切费用。费用测算清单如下：</w:t>
      </w:r>
    </w:p>
    <w:bookmarkEnd w:id="43"/>
    <w:tbl>
      <w:tblPr>
        <w:tblStyle w:val="22"/>
        <w:tblW w:w="8602"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84"/>
        <w:gridCol w:w="868"/>
        <w:gridCol w:w="1238"/>
        <w:gridCol w:w="2062"/>
        <w:gridCol w:w="1675"/>
        <w:gridCol w:w="1125"/>
        <w:gridCol w:w="1050"/>
      </w:tblGrid>
      <w:tr w14:paraId="38C62D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84" w:type="dxa"/>
            <w:tcBorders>
              <w:top w:val="single" w:color="000000" w:sz="8" w:space="0"/>
              <w:left w:val="single" w:color="000000" w:sz="8" w:space="0"/>
              <w:bottom w:val="single" w:color="000000" w:sz="4" w:space="0"/>
              <w:right w:val="single" w:color="000000" w:sz="4" w:space="0"/>
            </w:tcBorders>
            <w:shd w:val="clear" w:color="auto" w:fill="auto"/>
            <w:vAlign w:val="center"/>
          </w:tcPr>
          <w:p w14:paraId="5035CBA4">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86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073BA23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标段</w:t>
            </w:r>
          </w:p>
        </w:tc>
        <w:tc>
          <w:tcPr>
            <w:tcW w:w="1238" w:type="dxa"/>
            <w:tcBorders>
              <w:top w:val="single" w:color="000000" w:sz="8" w:space="0"/>
              <w:left w:val="single" w:color="000000" w:sz="4" w:space="0"/>
              <w:bottom w:val="single" w:color="000000" w:sz="4" w:space="0"/>
              <w:right w:val="single" w:color="000000" w:sz="4" w:space="0"/>
            </w:tcBorders>
            <w:shd w:val="clear" w:color="auto" w:fill="auto"/>
            <w:vAlign w:val="center"/>
          </w:tcPr>
          <w:p w14:paraId="3DC005E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项目类型</w:t>
            </w:r>
          </w:p>
        </w:tc>
        <w:tc>
          <w:tcPr>
            <w:tcW w:w="2062" w:type="dxa"/>
            <w:tcBorders>
              <w:top w:val="single" w:color="000000" w:sz="8" w:space="0"/>
              <w:left w:val="single" w:color="000000" w:sz="4" w:space="0"/>
              <w:bottom w:val="single" w:color="000000" w:sz="4" w:space="0"/>
              <w:right w:val="single" w:color="000000" w:sz="4" w:space="0"/>
            </w:tcBorders>
            <w:shd w:val="clear" w:color="auto" w:fill="auto"/>
            <w:vAlign w:val="center"/>
          </w:tcPr>
          <w:p w14:paraId="7671DC5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主要工作内容</w:t>
            </w:r>
          </w:p>
        </w:tc>
        <w:tc>
          <w:tcPr>
            <w:tcW w:w="167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239AF35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单次或单个项目价格或计价办法（万元/次或项）</w:t>
            </w:r>
          </w:p>
        </w:tc>
        <w:tc>
          <w:tcPr>
            <w:tcW w:w="1125" w:type="dxa"/>
            <w:tcBorders>
              <w:top w:val="single" w:color="000000" w:sz="8" w:space="0"/>
              <w:left w:val="single" w:color="000000" w:sz="4" w:space="0"/>
              <w:bottom w:val="single" w:color="000000" w:sz="4" w:space="0"/>
              <w:right w:val="single" w:color="000000" w:sz="4" w:space="0"/>
            </w:tcBorders>
            <w:shd w:val="clear" w:color="auto" w:fill="auto"/>
            <w:vAlign w:val="center"/>
          </w:tcPr>
          <w:p w14:paraId="51DABE4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预估工作量（个/年）</w:t>
            </w:r>
          </w:p>
        </w:tc>
        <w:tc>
          <w:tcPr>
            <w:tcW w:w="1050" w:type="dxa"/>
            <w:tcBorders>
              <w:top w:val="single" w:color="000000" w:sz="8" w:space="0"/>
              <w:left w:val="single" w:color="000000" w:sz="4" w:space="0"/>
              <w:bottom w:val="single" w:color="000000" w:sz="4" w:space="0"/>
              <w:right w:val="single" w:color="000000" w:sz="8" w:space="0"/>
            </w:tcBorders>
            <w:shd w:val="clear" w:color="auto" w:fill="auto"/>
            <w:vAlign w:val="center"/>
          </w:tcPr>
          <w:p w14:paraId="5F704AA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合价（万元）</w:t>
            </w:r>
          </w:p>
        </w:tc>
      </w:tr>
      <w:tr w14:paraId="05D09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31A1F7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84950E">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第1包：方案审查类</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CB99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排水方案审查</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368D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县域内项目排水专项方案审查及审查意见、因工程建设需要拆除、改动排水与污水处理设施审查等。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DFEB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0.7（单个项目）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53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91DF54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r>
      <w:tr w14:paraId="3B70E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776052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0D395D">
            <w:pPr>
              <w:jc w:val="both"/>
              <w:rPr>
                <w:rFonts w:hint="eastAsia" w:ascii="宋体" w:hAnsi="宋体" w:eastAsia="宋体" w:cs="宋体"/>
                <w:b/>
                <w:bCs/>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81BF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消防总平图审查</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7C9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县域内项目消防总平图审查及审查意见等。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7B3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0.2（单个项目）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DA79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450</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2B10DDF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r>
      <w:tr w14:paraId="2D8FC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0BB6C7F1">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F65916">
            <w:pPr>
              <w:jc w:val="both"/>
              <w:rPr>
                <w:rFonts w:hint="eastAsia" w:ascii="宋体" w:hAnsi="宋体" w:eastAsia="宋体" w:cs="宋体"/>
                <w:b/>
                <w:bCs/>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B257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综合管线方案审查</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E72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县域内项目综合管线方案审查及审查意见等。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B6F6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0.5（单个项目）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E4C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56DA274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1CF5F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11BADAC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4</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25BF83">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第2包：勘察设计类</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7112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排水与污水处理设施小额零星工程勘察设计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D1D5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县域内排水类小额零星工程配套勘察设计施工图等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3CCD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5.4（单个项目）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A6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87F546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r>
      <w:tr w14:paraId="3F69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60" w:hRule="atLeast"/>
        </w:trPr>
        <w:tc>
          <w:tcPr>
            <w:tcW w:w="58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09C3169E">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5</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57D287">
            <w:pPr>
              <w:jc w:val="both"/>
              <w:rPr>
                <w:rFonts w:hint="eastAsia" w:ascii="宋体" w:hAnsi="宋体" w:eastAsia="宋体" w:cs="宋体"/>
                <w:b/>
                <w:bCs/>
                <w:i w:val="0"/>
                <w:iCs w:val="0"/>
                <w:color w:val="000000"/>
                <w:sz w:val="24"/>
                <w:szCs w:val="24"/>
                <w:u w:val="none"/>
              </w:rPr>
            </w:pP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654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编制涉及老旧小区、排水或水环境类项目建议书、可行性研究方案、初步设计方案等项目前期</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7993D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项目包括前期方案设计、可研、初设等</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0307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①可研阶段：6(单个项目投资估算额3000万元以下，不含3000万元)；14（单个项目估算额3000万元-1亿元，不含1亿元）；28（单个项目估算额1亿-3亿，不含3亿元）。</w:t>
            </w:r>
          </w:p>
        </w:tc>
        <w:tc>
          <w:tcPr>
            <w:tcW w:w="11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D2E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2个或以上</w:t>
            </w:r>
          </w:p>
        </w:tc>
        <w:tc>
          <w:tcPr>
            <w:tcW w:w="1050" w:type="dxa"/>
            <w:vMerge w:val="restart"/>
            <w:tcBorders>
              <w:top w:val="single" w:color="000000" w:sz="4" w:space="0"/>
              <w:left w:val="single" w:color="000000" w:sz="4" w:space="0"/>
              <w:bottom w:val="single" w:color="000000" w:sz="4" w:space="0"/>
              <w:right w:val="single" w:color="000000" w:sz="8" w:space="0"/>
            </w:tcBorders>
            <w:shd w:val="clear" w:color="auto" w:fill="auto"/>
            <w:vAlign w:val="center"/>
          </w:tcPr>
          <w:p w14:paraId="2A4CEF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r>
      <w:tr w14:paraId="477D8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0" w:hRule="atLeast"/>
        </w:trPr>
        <w:tc>
          <w:tcPr>
            <w:tcW w:w="5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3164B408">
            <w:pPr>
              <w:jc w:val="center"/>
              <w:rPr>
                <w:rFonts w:hint="eastAsia" w:ascii="宋体" w:hAnsi="宋体" w:eastAsia="宋体" w:cs="宋体"/>
                <w:b/>
                <w:bCs/>
                <w:i w:val="0"/>
                <w:iCs w:val="0"/>
                <w:color w:val="000000"/>
                <w:sz w:val="24"/>
                <w:szCs w:val="24"/>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7684F7">
            <w:pPr>
              <w:jc w:val="both"/>
              <w:rPr>
                <w:rFonts w:hint="eastAsia" w:ascii="宋体" w:hAnsi="宋体" w:eastAsia="宋体" w:cs="宋体"/>
                <w:b/>
                <w:bCs/>
                <w:i w:val="0"/>
                <w:iCs w:val="0"/>
                <w:color w:val="000000"/>
                <w:sz w:val="24"/>
                <w:szCs w:val="24"/>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FC3A2">
            <w:pPr>
              <w:jc w:val="center"/>
              <w:rPr>
                <w:rFonts w:hint="eastAsia" w:ascii="宋体" w:hAnsi="宋体" w:eastAsia="宋体" w:cs="宋体"/>
                <w:i w:val="0"/>
                <w:iCs w:val="0"/>
                <w:color w:val="000000"/>
                <w:sz w:val="24"/>
                <w:szCs w:val="24"/>
                <w:u w:val="none"/>
              </w:rPr>
            </w:pP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1D82B">
            <w:pPr>
              <w:jc w:val="center"/>
              <w:rPr>
                <w:rFonts w:hint="eastAsia" w:ascii="宋体" w:hAnsi="宋体" w:eastAsia="宋体" w:cs="宋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3DFD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②初设阶段：28(单个项目,不另计可研费用，投资额不超过1000万元)</w:t>
            </w:r>
          </w:p>
        </w:tc>
        <w:tc>
          <w:tcPr>
            <w:tcW w:w="11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32425">
            <w:pPr>
              <w:jc w:val="center"/>
              <w:rPr>
                <w:rFonts w:hint="eastAsia" w:ascii="宋体" w:hAnsi="宋体" w:eastAsia="宋体" w:cs="宋体"/>
                <w:i w:val="0"/>
                <w:iCs w:val="0"/>
                <w:color w:val="000000"/>
                <w:sz w:val="24"/>
                <w:szCs w:val="24"/>
                <w:u w:val="none"/>
              </w:rPr>
            </w:pPr>
          </w:p>
        </w:tc>
        <w:tc>
          <w:tcPr>
            <w:tcW w:w="1050" w:type="dxa"/>
            <w:vMerge w:val="continue"/>
            <w:tcBorders>
              <w:top w:val="single" w:color="000000" w:sz="4" w:space="0"/>
              <w:left w:val="single" w:color="000000" w:sz="4" w:space="0"/>
              <w:bottom w:val="single" w:color="000000" w:sz="4" w:space="0"/>
              <w:right w:val="single" w:color="000000" w:sz="8" w:space="0"/>
            </w:tcBorders>
            <w:shd w:val="clear" w:color="auto" w:fill="auto"/>
            <w:vAlign w:val="center"/>
          </w:tcPr>
          <w:p w14:paraId="49C237DD">
            <w:pPr>
              <w:jc w:val="center"/>
              <w:rPr>
                <w:rFonts w:hint="eastAsia" w:ascii="宋体" w:hAnsi="宋体" w:eastAsia="宋体" w:cs="宋体"/>
                <w:i w:val="0"/>
                <w:iCs w:val="0"/>
                <w:color w:val="000000"/>
                <w:sz w:val="24"/>
                <w:szCs w:val="24"/>
                <w:u w:val="none"/>
              </w:rPr>
            </w:pPr>
          </w:p>
        </w:tc>
      </w:tr>
      <w:tr w14:paraId="5AEC32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84" w:type="dxa"/>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14:paraId="4B31E03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6</w:t>
            </w:r>
          </w:p>
        </w:tc>
        <w:tc>
          <w:tcPr>
            <w:tcW w:w="8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E1FB4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第3包：咨询类</w:t>
            </w:r>
          </w:p>
        </w:tc>
        <w:tc>
          <w:tcPr>
            <w:tcW w:w="123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4F66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专项方案编制等咨询服务</w:t>
            </w:r>
          </w:p>
        </w:tc>
        <w:tc>
          <w:tcPr>
            <w:tcW w:w="206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51901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“一厂一策”编制</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94C25">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“一厂一策”方案编制：1万元/万吨（设计规模）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BB91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1个或以上</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4A1CE4F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7095E8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5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81CC9CB">
            <w:pPr>
              <w:jc w:val="center"/>
              <w:rPr>
                <w:rFonts w:hint="eastAsia" w:ascii="宋体" w:hAnsi="宋体" w:eastAsia="宋体" w:cs="宋体"/>
                <w:b/>
                <w:bCs/>
                <w:i w:val="0"/>
                <w:iCs w:val="0"/>
                <w:color w:val="000000"/>
                <w:sz w:val="24"/>
                <w:szCs w:val="24"/>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C5F7">
            <w:pPr>
              <w:jc w:val="center"/>
              <w:rPr>
                <w:rFonts w:hint="eastAsia" w:ascii="宋体" w:hAnsi="宋体" w:eastAsia="宋体" w:cs="宋体"/>
                <w:b/>
                <w:bCs/>
                <w:i w:val="0"/>
                <w:iCs w:val="0"/>
                <w:color w:val="000000"/>
                <w:sz w:val="24"/>
                <w:szCs w:val="24"/>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39FB73">
            <w:pPr>
              <w:jc w:val="center"/>
              <w:rPr>
                <w:rFonts w:hint="eastAsia" w:ascii="宋体" w:hAnsi="宋体" w:eastAsia="宋体" w:cs="宋体"/>
                <w:i w:val="0"/>
                <w:iCs w:val="0"/>
                <w:color w:val="000000"/>
                <w:sz w:val="24"/>
                <w:szCs w:val="24"/>
                <w:u w:val="none"/>
              </w:rPr>
            </w:pPr>
          </w:p>
        </w:tc>
        <w:tc>
          <w:tcPr>
            <w:tcW w:w="206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B8EEA5">
            <w:pPr>
              <w:jc w:val="center"/>
              <w:rPr>
                <w:rFonts w:hint="eastAsia" w:ascii="宋体" w:hAnsi="宋体" w:eastAsia="宋体" w:cs="宋体"/>
                <w:i w:val="0"/>
                <w:iCs w:val="0"/>
                <w:color w:val="000000"/>
                <w:sz w:val="24"/>
                <w:szCs w:val="24"/>
                <w:u w:val="none"/>
              </w:rPr>
            </w:pP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C2013">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“一厂一策”水质检测：280元/次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89F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1个或以上</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65CAA3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r>
      <w:tr w14:paraId="7CE2B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4" w:type="dxa"/>
            <w:vMerge w:val="continue"/>
            <w:tcBorders>
              <w:top w:val="single" w:color="000000" w:sz="4" w:space="0"/>
              <w:left w:val="single" w:color="000000" w:sz="8" w:space="0"/>
              <w:bottom w:val="single" w:color="000000" w:sz="4" w:space="0"/>
              <w:right w:val="single" w:color="000000" w:sz="4" w:space="0"/>
            </w:tcBorders>
            <w:shd w:val="clear" w:color="auto" w:fill="auto"/>
            <w:vAlign w:val="center"/>
          </w:tcPr>
          <w:p w14:paraId="7579180B">
            <w:pPr>
              <w:jc w:val="center"/>
              <w:rPr>
                <w:rFonts w:hint="eastAsia" w:ascii="宋体" w:hAnsi="宋体" w:eastAsia="宋体" w:cs="宋体"/>
                <w:b/>
                <w:bCs/>
                <w:i w:val="0"/>
                <w:iCs w:val="0"/>
                <w:color w:val="000000"/>
                <w:sz w:val="24"/>
                <w:szCs w:val="24"/>
                <w:u w:val="none"/>
              </w:rPr>
            </w:pP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DC129">
            <w:pPr>
              <w:jc w:val="center"/>
              <w:rPr>
                <w:rFonts w:hint="eastAsia" w:ascii="宋体" w:hAnsi="宋体" w:eastAsia="宋体" w:cs="宋体"/>
                <w:b/>
                <w:bCs/>
                <w:i w:val="0"/>
                <w:iCs w:val="0"/>
                <w:color w:val="000000"/>
                <w:sz w:val="24"/>
                <w:szCs w:val="24"/>
                <w:u w:val="none"/>
              </w:rPr>
            </w:pPr>
          </w:p>
        </w:tc>
        <w:tc>
          <w:tcPr>
            <w:tcW w:w="123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756C95">
            <w:pPr>
              <w:jc w:val="center"/>
              <w:rPr>
                <w:rFonts w:hint="eastAsia" w:ascii="宋体" w:hAnsi="宋体" w:eastAsia="宋体" w:cs="宋体"/>
                <w:i w:val="0"/>
                <w:iCs w:val="0"/>
                <w:color w:val="000000"/>
                <w:sz w:val="24"/>
                <w:szCs w:val="24"/>
                <w:u w:val="none"/>
              </w:rPr>
            </w:pP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D354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城市排水防涝体检服务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21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25（单个项目）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EA5D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1个或以上</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EA13C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r>
      <w:tr w14:paraId="5C8040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50A85642">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7</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721BD">
            <w:pPr>
              <w:jc w:val="center"/>
              <w:rPr>
                <w:rFonts w:hint="eastAsia" w:ascii="宋体" w:hAnsi="宋体" w:eastAsia="宋体" w:cs="宋体"/>
                <w:b/>
                <w:bCs/>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746A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环保类咨询服务</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2A3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环境影响分析或评价、水土保持、环保验收、排污口论证等环保类手续咨询服务</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8DA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3（单个项目）</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C37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2个或以上</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73B9A7B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r>
      <w:tr w14:paraId="492BEF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584" w:type="dxa"/>
            <w:tcBorders>
              <w:top w:val="single" w:color="000000" w:sz="4" w:space="0"/>
              <w:left w:val="single" w:color="000000" w:sz="8" w:space="0"/>
              <w:bottom w:val="single" w:color="000000" w:sz="4" w:space="0"/>
              <w:right w:val="single" w:color="000000" w:sz="4" w:space="0"/>
            </w:tcBorders>
            <w:shd w:val="clear" w:color="auto" w:fill="auto"/>
            <w:vAlign w:val="center"/>
          </w:tcPr>
          <w:p w14:paraId="65B66C0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8</w:t>
            </w:r>
          </w:p>
        </w:tc>
        <w:tc>
          <w:tcPr>
            <w:tcW w:w="8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32A32B">
            <w:pPr>
              <w:jc w:val="center"/>
              <w:rPr>
                <w:rFonts w:hint="eastAsia" w:ascii="宋体" w:hAnsi="宋体" w:eastAsia="宋体" w:cs="宋体"/>
                <w:b/>
                <w:bCs/>
                <w:i w:val="0"/>
                <w:iCs w:val="0"/>
                <w:color w:val="000000"/>
                <w:sz w:val="24"/>
                <w:szCs w:val="24"/>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641D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其他技术咨询、配合申报相关政策性资金等相关工作</w:t>
            </w:r>
          </w:p>
        </w:tc>
        <w:tc>
          <w:tcPr>
            <w:tcW w:w="20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0364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按照采购人工作需要安排</w:t>
            </w:r>
          </w:p>
        </w:tc>
        <w:tc>
          <w:tcPr>
            <w:tcW w:w="16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9A47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0.5（单个任务）</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4EDC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20个或以上</w:t>
            </w:r>
          </w:p>
        </w:tc>
        <w:tc>
          <w:tcPr>
            <w:tcW w:w="1050" w:type="dxa"/>
            <w:tcBorders>
              <w:top w:val="single" w:color="000000" w:sz="4" w:space="0"/>
              <w:left w:val="single" w:color="000000" w:sz="4" w:space="0"/>
              <w:bottom w:val="single" w:color="000000" w:sz="4" w:space="0"/>
              <w:right w:val="single" w:color="000000" w:sz="8" w:space="0"/>
            </w:tcBorders>
            <w:shd w:val="clear" w:color="auto" w:fill="auto"/>
            <w:vAlign w:val="center"/>
          </w:tcPr>
          <w:p w14:paraId="14E77BE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r>
      <w:tr w14:paraId="410E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7552" w:type="dxa"/>
            <w:gridSpan w:val="6"/>
            <w:tcBorders>
              <w:top w:val="single" w:color="000000" w:sz="4" w:space="0"/>
              <w:left w:val="single" w:color="000000" w:sz="8" w:space="0"/>
              <w:bottom w:val="single" w:color="000000" w:sz="8" w:space="0"/>
              <w:right w:val="single" w:color="000000" w:sz="4" w:space="0"/>
            </w:tcBorders>
            <w:shd w:val="clear" w:color="auto" w:fill="auto"/>
            <w:vAlign w:val="center"/>
          </w:tcPr>
          <w:p w14:paraId="0743A2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总价</w:t>
            </w:r>
          </w:p>
        </w:tc>
        <w:tc>
          <w:tcPr>
            <w:tcW w:w="1050" w:type="dxa"/>
            <w:tcBorders>
              <w:top w:val="single" w:color="000000" w:sz="4" w:space="0"/>
              <w:left w:val="single" w:color="000000" w:sz="4" w:space="0"/>
              <w:bottom w:val="single" w:color="000000" w:sz="8" w:space="0"/>
              <w:right w:val="single" w:color="000000" w:sz="8" w:space="0"/>
            </w:tcBorders>
            <w:shd w:val="clear" w:color="auto" w:fill="auto"/>
            <w:vAlign w:val="center"/>
          </w:tcPr>
          <w:p w14:paraId="33EBAD8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500</w:t>
            </w:r>
          </w:p>
        </w:tc>
      </w:tr>
    </w:tbl>
    <w:p w14:paraId="34C058BE">
      <w:pPr>
        <w:spacing w:line="560" w:lineRule="exact"/>
        <w:ind w:firstLine="0" w:firstLineChars="0"/>
        <w:rPr>
          <w:rFonts w:hint="eastAsia" w:asciiTheme="minorEastAsia" w:hAnsiTheme="minorEastAsia" w:eastAsiaTheme="minorEastAsia"/>
          <w:b/>
          <w:bCs/>
          <w:sz w:val="24"/>
        </w:rPr>
      </w:pPr>
    </w:p>
    <w:p w14:paraId="1F66B8CF">
      <w:pPr>
        <w:spacing w:line="560" w:lineRule="exact"/>
        <w:ind w:firstLine="482" w:firstLineChars="200"/>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注:</w:t>
      </w:r>
    </w:p>
    <w:p w14:paraId="69454DDC">
      <w:pPr>
        <w:spacing w:line="560" w:lineRule="exact"/>
        <w:ind w:firstLine="482" w:firstLineChars="200"/>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1.本项目控制单价为按照采购人服务要求，包含完成本项目相关工作内容的一切费用。</w:t>
      </w:r>
    </w:p>
    <w:p w14:paraId="21DB5D94">
      <w:pPr>
        <w:spacing w:line="560" w:lineRule="exact"/>
        <w:ind w:firstLine="482" w:firstLineChars="200"/>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2.本项目预估工作量仅供参考，具体实施中将根据实际情况需要增加或减少，各类项目费用按照实际情况计费，部分类型项目数量不足，根据工作实际纳入1-</w:t>
      </w:r>
      <w:r>
        <w:rPr>
          <w:rFonts w:hint="eastAsia" w:asciiTheme="minorEastAsia" w:hAnsiTheme="minorEastAsia" w:eastAsiaTheme="minorEastAsia"/>
          <w:b/>
          <w:bCs/>
          <w:sz w:val="24"/>
          <w:lang w:val="en-US" w:eastAsia="zh-CN"/>
        </w:rPr>
        <w:t>8项任一项统筹使用。</w:t>
      </w:r>
    </w:p>
    <w:p w14:paraId="637FE7A5">
      <w:pPr>
        <w:spacing w:line="560" w:lineRule="exact"/>
        <w:ind w:firstLine="482" w:firstLineChars="200"/>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 xml:space="preserve">3.供应商针对本项目报费率。供应商应根据上述费用测算清单中的控制单价报费率，费率报价包括但不限于完成本项工作所需的一切费用，采购人后期不再追加任何费用。供应商需自行考虑各种风险，谨慎报价。费率报价不得超过100%，否则响应无效。 </w:t>
      </w:r>
    </w:p>
    <w:p w14:paraId="6CAB8151">
      <w:pPr>
        <w:spacing w:line="560" w:lineRule="exact"/>
        <w:ind w:firstLine="482" w:firstLineChars="200"/>
        <w:rPr>
          <w:rFonts w:hint="eastAsia" w:asciiTheme="minorEastAsia" w:hAnsiTheme="minorEastAsia" w:eastAsiaTheme="minorEastAsia"/>
          <w:b/>
          <w:bCs/>
          <w:sz w:val="24"/>
        </w:rPr>
      </w:pPr>
      <w:r>
        <w:rPr>
          <w:rFonts w:hint="eastAsia" w:asciiTheme="minorEastAsia" w:hAnsiTheme="minorEastAsia" w:eastAsiaTheme="minorEastAsia"/>
          <w:b/>
          <w:bCs/>
          <w:sz w:val="24"/>
          <w:lang w:val="en-US" w:eastAsia="zh-CN"/>
        </w:rPr>
        <w:t>4.第1包最终结算金额=∑方案审查类型实际工作量*控制单价*成交费率，最终结算金额（1、2、3包之和）不超过项目总预算。</w:t>
      </w:r>
    </w:p>
    <w:p w14:paraId="1ADFB4A6">
      <w:pPr>
        <w:spacing w:line="560" w:lineRule="exact"/>
        <w:ind w:firstLine="482" w:firstLineChars="200"/>
        <w:rPr>
          <w:rFonts w:hint="eastAsia" w:asciiTheme="minorEastAsia" w:hAnsiTheme="minorEastAsia" w:eastAsiaTheme="minorEastAsia"/>
          <w:b/>
          <w:bCs/>
          <w:sz w:val="24"/>
          <w:lang w:val="en-US" w:eastAsia="zh-CN"/>
        </w:rPr>
      </w:pPr>
      <w:r>
        <w:rPr>
          <w:rFonts w:hint="eastAsia" w:asciiTheme="minorEastAsia" w:hAnsiTheme="minorEastAsia" w:eastAsiaTheme="minorEastAsia"/>
          <w:b/>
          <w:bCs/>
          <w:sz w:val="24"/>
          <w:lang w:val="en-US" w:eastAsia="zh-CN"/>
        </w:rPr>
        <w:t>如：第1包成交供应商最终所报费率为 85%，则按照费用测算清单中控制单价的85%进行据实结算。即第1包最终结算金额=排水方案审查控制单价*85%*实际工作量+消防总平图审查控制单价*85%*实际工作量+......。</w:t>
      </w:r>
    </w:p>
    <w:p w14:paraId="58199BF0">
      <w:pPr>
        <w:spacing w:line="360" w:lineRule="auto"/>
        <w:ind w:firstLine="437"/>
        <w:outlineLvl w:val="1"/>
        <w:rPr>
          <w:rFonts w:hint="default" w:ascii="宋体" w:hAnsi="宋体" w:eastAsia="宋体"/>
          <w:b/>
          <w:color w:val="auto"/>
          <w:sz w:val="24"/>
          <w:szCs w:val="18"/>
          <w:highlight w:val="none"/>
          <w:lang w:val="en-US" w:eastAsia="zh-CN"/>
        </w:rPr>
      </w:pPr>
      <w:r>
        <w:rPr>
          <w:rFonts w:hint="eastAsia"/>
          <w:b/>
          <w:color w:val="auto"/>
          <w:sz w:val="24"/>
          <w:szCs w:val="18"/>
          <w:highlight w:val="none"/>
          <w:lang w:val="en-US" w:eastAsia="zh-CN"/>
        </w:rPr>
        <w:t>六</w:t>
      </w:r>
      <w:r>
        <w:rPr>
          <w:rFonts w:hint="eastAsia" w:ascii="宋体" w:hAnsi="宋体" w:eastAsia="宋体"/>
          <w:b/>
          <w:color w:val="auto"/>
          <w:sz w:val="24"/>
          <w:szCs w:val="18"/>
          <w:highlight w:val="none"/>
          <w:lang w:val="en-US" w:eastAsia="zh-CN"/>
        </w:rPr>
        <w:t xml:space="preserve">、违约条款 </w:t>
      </w:r>
    </w:p>
    <w:p w14:paraId="6787A83A">
      <w:pPr>
        <w:spacing w:line="360" w:lineRule="auto"/>
        <w:ind w:firstLine="435"/>
        <w:rPr>
          <w:rFonts w:hint="eastAsia" w:ascii="宋体" w:hAnsi="宋体" w:eastAsia="宋体"/>
          <w:sz w:val="24"/>
          <w:highlight w:val="none"/>
          <w:lang w:val="en-US" w:eastAsia="zh-CN"/>
        </w:rPr>
      </w:pPr>
      <w:r>
        <w:rPr>
          <w:rFonts w:hint="eastAsia" w:ascii="宋体" w:hAnsi="宋体" w:eastAsia="宋体"/>
          <w:sz w:val="24"/>
          <w:highlight w:val="none"/>
        </w:rPr>
        <w:t>1.中标</w:t>
      </w:r>
      <w:r>
        <w:rPr>
          <w:rFonts w:hint="eastAsia"/>
          <w:sz w:val="24"/>
          <w:highlight w:val="none"/>
          <w:lang w:val="en-US" w:eastAsia="zh-CN"/>
        </w:rPr>
        <w:t>人</w:t>
      </w:r>
      <w:r>
        <w:rPr>
          <w:rFonts w:hint="eastAsia" w:ascii="宋体" w:hAnsi="宋体" w:eastAsia="宋体"/>
          <w:sz w:val="24"/>
          <w:highlight w:val="none"/>
        </w:rPr>
        <w:t>未经</w:t>
      </w:r>
      <w:r>
        <w:rPr>
          <w:rFonts w:hint="eastAsia"/>
          <w:sz w:val="24"/>
          <w:highlight w:val="none"/>
          <w:lang w:val="en-US" w:eastAsia="zh-CN"/>
        </w:rPr>
        <w:t>采购</w:t>
      </w:r>
      <w:r>
        <w:rPr>
          <w:rFonts w:hint="eastAsia" w:ascii="宋体" w:hAnsi="宋体" w:eastAsia="宋体"/>
          <w:sz w:val="24"/>
          <w:highlight w:val="none"/>
        </w:rPr>
        <w:t>人同意擅自对</w:t>
      </w:r>
      <w:r>
        <w:rPr>
          <w:rFonts w:hint="eastAsia"/>
          <w:sz w:val="24"/>
          <w:highlight w:val="none"/>
          <w:lang w:val="en-US" w:eastAsia="zh-CN"/>
        </w:rPr>
        <w:t>服务内容</w:t>
      </w:r>
      <w:r>
        <w:rPr>
          <w:rFonts w:hint="eastAsia" w:ascii="宋体" w:hAnsi="宋体" w:eastAsia="宋体"/>
          <w:sz w:val="24"/>
          <w:highlight w:val="none"/>
        </w:rPr>
        <w:t>进行分包的违约责任：设计费总额的30% 。如因此给</w:t>
      </w:r>
      <w:r>
        <w:rPr>
          <w:rFonts w:hint="eastAsia"/>
          <w:sz w:val="24"/>
          <w:highlight w:val="none"/>
          <w:lang w:val="en-US" w:eastAsia="zh-CN"/>
        </w:rPr>
        <w:t>采购</w:t>
      </w:r>
      <w:r>
        <w:rPr>
          <w:rFonts w:hint="eastAsia" w:ascii="宋体" w:hAnsi="宋体" w:eastAsia="宋体"/>
          <w:sz w:val="24"/>
          <w:highlight w:val="none"/>
        </w:rPr>
        <w:t>人造成损失的，</w:t>
      </w:r>
      <w:r>
        <w:rPr>
          <w:rFonts w:hint="eastAsia"/>
          <w:sz w:val="24"/>
          <w:highlight w:val="none"/>
          <w:lang w:val="en-US" w:eastAsia="zh-CN"/>
        </w:rPr>
        <w:t>中标</w:t>
      </w:r>
      <w:r>
        <w:rPr>
          <w:rFonts w:hint="eastAsia" w:ascii="宋体" w:hAnsi="宋体" w:eastAsia="宋体"/>
          <w:sz w:val="24"/>
          <w:highlight w:val="none"/>
        </w:rPr>
        <w:t>人还应承担损害赔偿责任。</w:t>
      </w:r>
    </w:p>
    <w:p w14:paraId="77B45283">
      <w:pPr>
        <w:spacing w:line="360" w:lineRule="auto"/>
        <w:ind w:firstLine="435"/>
        <w:rPr>
          <w:rFonts w:hint="eastAsia" w:ascii="宋体" w:hAnsi="宋体" w:eastAsia="宋体"/>
          <w:sz w:val="24"/>
          <w:highlight w:val="none"/>
        </w:rPr>
      </w:pPr>
      <w:r>
        <w:rPr>
          <w:rFonts w:hint="eastAsia" w:ascii="宋体" w:hAnsi="宋体" w:eastAsia="宋体"/>
          <w:sz w:val="24"/>
          <w:highlight w:val="none"/>
        </w:rPr>
        <w:t>2.除不可抗力外，如果中标单位未按照约定的期限、地点和方式履行，那么采购人可要求中标单位支付违约金，违约金按每迟延履行一日的应提供而未提供服务价格的 1 %计算，最高限额为本合同总价的10%;迟延履行的违约金计算数额达到前述最高限额之日起，采购人有权在要求中标单位支付违约金的同时，书面通知中标单位解除本合同；</w:t>
      </w:r>
    </w:p>
    <w:p w14:paraId="08D7A9CF">
      <w:pPr>
        <w:spacing w:line="360" w:lineRule="auto"/>
        <w:ind w:firstLine="435"/>
        <w:rPr>
          <w:rFonts w:hint="eastAsia" w:ascii="宋体" w:hAnsi="宋体" w:eastAsia="宋体"/>
          <w:sz w:val="24"/>
          <w:highlight w:val="none"/>
        </w:rPr>
      </w:pPr>
      <w:r>
        <w:rPr>
          <w:rFonts w:hint="eastAsia" w:ascii="宋体" w:hAnsi="宋体" w:eastAsia="宋体"/>
          <w:sz w:val="24"/>
          <w:highlight w:val="none"/>
        </w:rPr>
        <w:t>3.除不可抗力外，如中标单位未能履行本项目约定的其他主要义务，经告知后在合理期限内仍未履行的，或者中标单位有其他违约行为致使不能实现招标目的的，或者中标单位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采购人可以书面通知违约方解除合同；</w:t>
      </w:r>
    </w:p>
    <w:p w14:paraId="764FE9F8">
      <w:pPr>
        <w:spacing w:line="360" w:lineRule="auto"/>
        <w:ind w:firstLine="435"/>
        <w:rPr>
          <w:rFonts w:hint="eastAsia" w:ascii="宋体" w:hAnsi="宋体" w:eastAsia="宋体"/>
          <w:sz w:val="24"/>
          <w:highlight w:val="none"/>
        </w:rPr>
      </w:pPr>
      <w:r>
        <w:rPr>
          <w:rFonts w:hint="eastAsia" w:ascii="宋体" w:hAnsi="宋体" w:eastAsia="宋体"/>
          <w:sz w:val="24"/>
          <w:highlight w:val="none"/>
        </w:rPr>
        <w:t>4.中标单位如有前述违约情况，中标单位在按照前述约定要求违约方支付违约金的同时，采购人仍有权要求中标单位继续履行合同、采取补救措施，并有权按照己方实际损失情况要求违约方赔偿损失，采购人按照前述约定要求解除合同的同时，仍有权要求中标单位支付违约金和按照己方实际损失情况要求违约方赔偿损失；且采购人行使的任何权利救济方式均不视为其放弃了其他法定或者约定的权利救济方式。</w:t>
      </w:r>
    </w:p>
    <w:p w14:paraId="07FF64A2">
      <w:pPr>
        <w:spacing w:line="360" w:lineRule="auto"/>
        <w:ind w:firstLine="435"/>
        <w:rPr>
          <w:rFonts w:hint="eastAsia" w:ascii="宋体" w:hAnsi="宋体" w:eastAsia="宋体" w:cs="宋体"/>
          <w:color w:val="auto"/>
          <w:sz w:val="24"/>
          <w:szCs w:val="24"/>
          <w:highlight w:val="none"/>
          <w:lang w:val="en-US" w:eastAsia="zh-CN"/>
        </w:rPr>
      </w:pPr>
      <w:r>
        <w:rPr>
          <w:rFonts w:hint="eastAsia" w:ascii="宋体" w:hAnsi="宋体" w:eastAsia="宋体"/>
          <w:sz w:val="24"/>
          <w:highlight w:val="none"/>
        </w:rPr>
        <w:t>5.如果出现政府采购监督管理部门在处理投诉事项期间，书面通知采购人暂停采购活动的情形，或者询问或质疑事项可能影响成交结果的，导致采购人中止履行合同的情形，均不视为采购人违约。</w:t>
      </w:r>
    </w:p>
    <w:p w14:paraId="2A34C9D4">
      <w:pPr>
        <w:keepNext w:val="0"/>
        <w:keepLines w:val="0"/>
        <w:pageBreakBefore w:val="0"/>
        <w:widowControl/>
        <w:numPr>
          <w:ilvl w:val="0"/>
          <w:numId w:val="0"/>
        </w:numPr>
        <w:tabs>
          <w:tab w:val="left" w:pos="1429"/>
        </w:tabs>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6</w:t>
      </w:r>
      <w:r>
        <w:rPr>
          <w:rFonts w:hint="eastAsia" w:ascii="宋体" w:hAnsi="宋体" w:eastAsia="宋体" w:cs="宋体"/>
          <w:color w:val="auto"/>
          <w:sz w:val="24"/>
          <w:szCs w:val="24"/>
          <w:highlight w:val="none"/>
          <w:lang w:val="en-US" w:eastAsia="zh-CN"/>
        </w:rPr>
        <w:t>.本项目为年度服务项目，具体单项设计内容以业主通知为准。中标人需要切实保证工作成果质量合格，若出现图纸</w:t>
      </w:r>
      <w:r>
        <w:rPr>
          <w:rFonts w:hint="eastAsia" w:cs="宋体"/>
          <w:color w:val="auto"/>
          <w:sz w:val="24"/>
          <w:szCs w:val="24"/>
          <w:highlight w:val="none"/>
          <w:lang w:val="en-US" w:eastAsia="zh-CN"/>
        </w:rPr>
        <w:t>（成果）</w:t>
      </w:r>
      <w:r>
        <w:rPr>
          <w:rFonts w:hint="eastAsia" w:ascii="宋体" w:hAnsi="宋体" w:eastAsia="宋体" w:cs="宋体"/>
          <w:color w:val="auto"/>
          <w:sz w:val="24"/>
          <w:szCs w:val="24"/>
          <w:highlight w:val="none"/>
          <w:lang w:val="en-US" w:eastAsia="zh-CN"/>
        </w:rPr>
        <w:t>错误、图纸</w:t>
      </w:r>
      <w:r>
        <w:rPr>
          <w:rFonts w:hint="eastAsia" w:cs="宋体"/>
          <w:color w:val="auto"/>
          <w:sz w:val="24"/>
          <w:szCs w:val="24"/>
          <w:highlight w:val="none"/>
          <w:lang w:val="en-US" w:eastAsia="zh-CN"/>
        </w:rPr>
        <w:t>（成果）</w:t>
      </w:r>
      <w:r>
        <w:rPr>
          <w:rFonts w:hint="eastAsia" w:ascii="宋体" w:hAnsi="宋体" w:eastAsia="宋体" w:cs="宋体"/>
          <w:color w:val="auto"/>
          <w:sz w:val="24"/>
          <w:szCs w:val="24"/>
          <w:highlight w:val="none"/>
          <w:lang w:val="en-US" w:eastAsia="zh-CN"/>
        </w:rPr>
        <w:t>不清等情况，扣违约金1000元/次。</w:t>
      </w:r>
    </w:p>
    <w:p w14:paraId="5701A548">
      <w:pPr>
        <w:keepNext w:val="0"/>
        <w:keepLines w:val="0"/>
        <w:pageBreakBefore w:val="0"/>
        <w:widowControl/>
        <w:numPr>
          <w:ilvl w:val="0"/>
          <w:numId w:val="0"/>
        </w:numPr>
        <w:tabs>
          <w:tab w:val="left" w:pos="1429"/>
        </w:tabs>
        <w:kinsoku/>
        <w:wordWrap/>
        <w:overflowPunct/>
        <w:topLinePunct w:val="0"/>
        <w:autoSpaceDE/>
        <w:autoSpaceDN/>
        <w:bidi w:val="0"/>
        <w:adjustRightInd/>
        <w:snapToGrid w:val="0"/>
        <w:spacing w:line="360" w:lineRule="auto"/>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中标人原则上不得更换项目负责人，确需更换的，须提前15天通知招标人，更换后的项目负责人资质能力须符合招标文件要求和投标文件响应，同时扣违约金10000元（因重病、亡故客观原因除外）。项目负责人因管理能力等原因，无法胜任项目管理工作，招标人可要求更换不低于招标文件要求和投标文件响应的项目负责人，招标人需提前15日通知中标人，同时扣中标人违约金10000元。</w:t>
      </w:r>
    </w:p>
    <w:p w14:paraId="0E9CC26B">
      <w:pPr>
        <w:keepNext w:val="0"/>
        <w:keepLines w:val="0"/>
        <w:pageBreakBefore w:val="0"/>
        <w:widowControl/>
        <w:numPr>
          <w:ilvl w:val="0"/>
          <w:numId w:val="0"/>
        </w:numPr>
        <w:tabs>
          <w:tab w:val="left" w:pos="1429"/>
        </w:tabs>
        <w:kinsoku/>
        <w:wordWrap/>
        <w:overflowPunct/>
        <w:topLinePunct w:val="0"/>
        <w:autoSpaceDE/>
        <w:autoSpaceDN/>
        <w:bidi w:val="0"/>
        <w:adjustRightInd/>
        <w:snapToGrid w:val="0"/>
        <w:spacing w:line="360" w:lineRule="auto"/>
        <w:ind w:firstLine="480" w:firstLineChars="200"/>
        <w:jc w:val="both"/>
        <w:textAlignment w:val="auto"/>
        <w:rPr>
          <w:rFonts w:ascii="宋体" w:hAnsi="宋体" w:eastAsia="宋体" w:cs="宋体"/>
          <w:color w:val="auto"/>
          <w:sz w:val="24"/>
          <w:szCs w:val="24"/>
          <w:highlight w:val="none"/>
          <w:lang w:val="zh-CN" w:bidi="zh-CN"/>
        </w:rPr>
      </w:pPr>
      <w:r>
        <w:rPr>
          <w:rFonts w:hint="eastAsia"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.中标人无条件服从招标人的工作调度。如出现无法联系、超时（1小时）等情况，经招标人确认，每次扣违约金1000元</w:t>
      </w:r>
      <w:r>
        <w:rPr>
          <w:rFonts w:hint="eastAsia" w:cs="宋体"/>
          <w:color w:val="auto"/>
          <w:sz w:val="24"/>
          <w:szCs w:val="24"/>
          <w:highlight w:val="none"/>
          <w:lang w:val="en-US" w:eastAsia="zh-CN"/>
        </w:rPr>
        <w:t>；</w:t>
      </w:r>
      <w:r>
        <w:rPr>
          <w:rFonts w:hint="eastAsia"/>
          <w:b w:val="0"/>
          <w:bCs w:val="0"/>
          <w:sz w:val="24"/>
          <w:highlight w:val="none"/>
          <w:lang w:val="en-US" w:eastAsia="zh-CN"/>
        </w:rPr>
        <w:t>累计达到3次，采购人有权终止合同。</w:t>
      </w:r>
    </w:p>
    <w:p w14:paraId="101B0E33">
      <w:pPr>
        <w:keepNext w:val="0"/>
        <w:keepLines w:val="0"/>
        <w:pageBreakBefore w:val="0"/>
        <w:widowControl/>
        <w:numPr>
          <w:ilvl w:val="0"/>
          <w:numId w:val="0"/>
        </w:numPr>
        <w:tabs>
          <w:tab w:val="left" w:pos="1429"/>
        </w:tabs>
        <w:kinsoku/>
        <w:wordWrap/>
        <w:overflowPunct/>
        <w:topLinePunct w:val="0"/>
        <w:autoSpaceDE/>
        <w:autoSpaceDN/>
        <w:bidi w:val="0"/>
        <w:adjustRightInd/>
        <w:snapToGrid w:val="0"/>
        <w:spacing w:line="360" w:lineRule="auto"/>
        <w:ind w:firstLine="480" w:firstLineChars="200"/>
        <w:jc w:val="both"/>
        <w:textAlignment w:val="auto"/>
        <w:rPr>
          <w:rFonts w:ascii="宋体" w:hAnsi="宋体" w:eastAsia="宋体" w:cs="宋体"/>
          <w:color w:val="auto"/>
          <w:sz w:val="24"/>
          <w:szCs w:val="24"/>
          <w:highlight w:val="none"/>
          <w:lang w:val="zh-CN" w:bidi="zh-CN"/>
        </w:rPr>
      </w:pPr>
      <w:r>
        <w:rPr>
          <w:rFonts w:hint="eastAsia" w:cs="宋体"/>
          <w:color w:val="auto"/>
          <w:sz w:val="24"/>
          <w:szCs w:val="24"/>
          <w:highlight w:val="none"/>
          <w:lang w:val="en-US" w:eastAsia="zh-CN"/>
        </w:rPr>
        <w:t>9</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各违约情形认定，以</w:t>
      </w:r>
      <w:r>
        <w:rPr>
          <w:rFonts w:hint="eastAsia" w:ascii="宋体" w:hAnsi="宋体" w:eastAsia="宋体" w:cs="宋体"/>
          <w:color w:val="auto"/>
          <w:sz w:val="24"/>
          <w:szCs w:val="24"/>
          <w:highlight w:val="none"/>
          <w:lang w:val="en-US" w:eastAsia="zh-CN"/>
        </w:rPr>
        <w:t>招标人</w:t>
      </w:r>
      <w:r>
        <w:rPr>
          <w:rFonts w:hint="eastAsia" w:ascii="宋体" w:hAnsi="宋体" w:eastAsia="宋体" w:cs="宋体"/>
          <w:color w:val="auto"/>
          <w:sz w:val="24"/>
          <w:szCs w:val="24"/>
          <w:highlight w:val="none"/>
        </w:rPr>
        <w:t>确认的电话、考勤、照片等记录等为准。</w:t>
      </w:r>
    </w:p>
    <w:p w14:paraId="5E31D21C">
      <w:pPr>
        <w:keepNext w:val="0"/>
        <w:keepLines w:val="0"/>
        <w:pageBreakBefore w:val="0"/>
        <w:widowControl/>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bidi="zh-CN"/>
        </w:rPr>
      </w:pPr>
      <w:r>
        <w:rPr>
          <w:rFonts w:hint="eastAsia" w:cs="宋体"/>
          <w:b w:val="0"/>
          <w:bCs w:val="0"/>
          <w:color w:val="auto"/>
          <w:sz w:val="24"/>
          <w:szCs w:val="24"/>
          <w:highlight w:val="none"/>
          <w:lang w:val="en-US" w:bidi="zh-CN"/>
        </w:rPr>
        <w:t>10</w:t>
      </w:r>
      <w:r>
        <w:rPr>
          <w:rFonts w:hint="eastAsia" w:ascii="宋体" w:hAnsi="宋体" w:eastAsia="宋体" w:cs="宋体"/>
          <w:b w:val="0"/>
          <w:bCs w:val="0"/>
          <w:color w:val="auto"/>
          <w:sz w:val="24"/>
          <w:szCs w:val="24"/>
          <w:highlight w:val="none"/>
          <w:lang w:val="en-US" w:bidi="zh-CN"/>
        </w:rPr>
        <w:t>.</w:t>
      </w:r>
      <w:r>
        <w:rPr>
          <w:rFonts w:hint="eastAsia" w:ascii="宋体" w:hAnsi="宋体" w:eastAsia="宋体" w:cs="宋体"/>
          <w:b w:val="0"/>
          <w:bCs w:val="0"/>
          <w:color w:val="auto"/>
          <w:sz w:val="24"/>
          <w:szCs w:val="24"/>
          <w:highlight w:val="none"/>
          <w:lang w:val="zh-CN" w:bidi="zh-CN"/>
        </w:rPr>
        <w:t>所有</w:t>
      </w:r>
      <w:r>
        <w:rPr>
          <w:rFonts w:hint="eastAsia" w:ascii="宋体" w:hAnsi="宋体" w:eastAsia="宋体" w:cs="宋体"/>
          <w:b w:val="0"/>
          <w:bCs w:val="0"/>
          <w:color w:val="auto"/>
          <w:sz w:val="24"/>
          <w:szCs w:val="24"/>
          <w:highlight w:val="none"/>
          <w:lang w:val="zh-CN" w:eastAsia="zh-CN" w:bidi="zh-CN"/>
        </w:rPr>
        <w:t>违约金</w:t>
      </w:r>
      <w:r>
        <w:rPr>
          <w:rFonts w:hint="eastAsia" w:ascii="宋体" w:hAnsi="宋体" w:eastAsia="宋体" w:cs="宋体"/>
          <w:b w:val="0"/>
          <w:bCs w:val="0"/>
          <w:color w:val="auto"/>
          <w:sz w:val="24"/>
          <w:szCs w:val="24"/>
          <w:highlight w:val="none"/>
          <w:lang w:bidi="zh-CN"/>
        </w:rPr>
        <w:t>按</w:t>
      </w:r>
      <w:r>
        <w:rPr>
          <w:rFonts w:hint="eastAsia" w:ascii="宋体" w:hAnsi="宋体" w:eastAsia="宋体" w:cs="宋体"/>
          <w:b w:val="0"/>
          <w:bCs w:val="0"/>
          <w:color w:val="auto"/>
          <w:sz w:val="24"/>
          <w:szCs w:val="24"/>
          <w:highlight w:val="none"/>
          <w:lang w:val="en-US" w:bidi="zh-CN"/>
        </w:rPr>
        <w:t>招标人</w:t>
      </w:r>
      <w:r>
        <w:rPr>
          <w:rFonts w:hint="eastAsia" w:ascii="宋体" w:hAnsi="宋体" w:eastAsia="宋体" w:cs="宋体"/>
          <w:b w:val="0"/>
          <w:bCs w:val="0"/>
          <w:color w:val="auto"/>
          <w:sz w:val="24"/>
          <w:szCs w:val="24"/>
          <w:highlight w:val="none"/>
          <w:lang w:bidi="zh-CN"/>
        </w:rPr>
        <w:t>要求的具体形式缴纳或兑现，具体为：</w:t>
      </w:r>
    </w:p>
    <w:p w14:paraId="5BB51A6B">
      <w:pPr>
        <w:keepNext w:val="0"/>
        <w:keepLines w:val="0"/>
        <w:pageBreakBefore w:val="0"/>
        <w:widowControl/>
        <w:numPr>
          <w:ilvl w:val="0"/>
          <w:numId w:val="0"/>
        </w:numPr>
        <w:kinsoku/>
        <w:wordWrap/>
        <w:overflowPunct/>
        <w:topLinePunct w:val="0"/>
        <w:autoSpaceDE/>
        <w:autoSpaceDN/>
        <w:bidi w:val="0"/>
        <w:adjustRightInd/>
        <w:snapToGrid w:val="0"/>
        <w:spacing w:line="360" w:lineRule="auto"/>
        <w:ind w:left="0" w:leftChars="0" w:firstLine="480" w:firstLineChars="200"/>
        <w:jc w:val="both"/>
        <w:textAlignment w:val="auto"/>
        <w:rPr>
          <w:rFonts w:hint="eastAsia" w:ascii="宋体" w:hAnsi="宋体" w:eastAsia="宋体" w:cs="宋体"/>
          <w:b w:val="0"/>
          <w:bCs w:val="0"/>
          <w:color w:val="auto"/>
          <w:sz w:val="24"/>
          <w:szCs w:val="24"/>
          <w:highlight w:val="none"/>
          <w:lang w:bidi="zh-CN"/>
        </w:rPr>
      </w:pPr>
      <w:r>
        <w:rPr>
          <w:rFonts w:hint="eastAsia" w:ascii="宋体" w:hAnsi="宋体" w:eastAsia="宋体" w:cs="宋体"/>
          <w:b w:val="0"/>
          <w:bCs w:val="0"/>
          <w:color w:val="auto"/>
          <w:sz w:val="24"/>
          <w:szCs w:val="24"/>
          <w:highlight w:val="none"/>
          <w:lang w:bidi="zh-CN"/>
        </w:rPr>
        <w:t>（</w:t>
      </w:r>
      <w:r>
        <w:rPr>
          <w:rFonts w:hint="eastAsia" w:ascii="宋体" w:hAnsi="宋体" w:eastAsia="宋体" w:cs="宋体"/>
          <w:b w:val="0"/>
          <w:bCs w:val="0"/>
          <w:color w:val="auto"/>
          <w:sz w:val="24"/>
          <w:szCs w:val="24"/>
          <w:highlight w:val="none"/>
          <w:lang w:val="en-US" w:bidi="zh-CN"/>
        </w:rPr>
        <w:t>1</w:t>
      </w:r>
      <w:r>
        <w:rPr>
          <w:rFonts w:hint="eastAsia" w:ascii="宋体" w:hAnsi="宋体" w:eastAsia="宋体" w:cs="宋体"/>
          <w:b w:val="0"/>
          <w:bCs w:val="0"/>
          <w:color w:val="auto"/>
          <w:sz w:val="24"/>
          <w:szCs w:val="24"/>
          <w:highlight w:val="none"/>
          <w:lang w:bidi="zh-CN"/>
        </w:rPr>
        <w:t>）直接在</w:t>
      </w:r>
      <w:r>
        <w:rPr>
          <w:rFonts w:hint="eastAsia" w:ascii="宋体" w:hAnsi="宋体" w:eastAsia="宋体" w:cs="宋体"/>
          <w:b w:val="0"/>
          <w:bCs w:val="0"/>
          <w:color w:val="auto"/>
          <w:sz w:val="24"/>
          <w:szCs w:val="24"/>
          <w:highlight w:val="none"/>
          <w:lang w:val="en-US" w:bidi="zh-CN"/>
        </w:rPr>
        <w:t>中标人</w:t>
      </w:r>
      <w:r>
        <w:rPr>
          <w:rFonts w:hint="eastAsia" w:ascii="宋体" w:hAnsi="宋体" w:eastAsia="宋体" w:cs="宋体"/>
          <w:b w:val="0"/>
          <w:bCs w:val="0"/>
          <w:color w:val="auto"/>
          <w:sz w:val="24"/>
          <w:szCs w:val="24"/>
          <w:highlight w:val="none"/>
          <w:lang w:bidi="zh-CN"/>
        </w:rPr>
        <w:t>的进度或者结算款项中扣除；</w:t>
      </w:r>
    </w:p>
    <w:p w14:paraId="497530B5">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cs="宋体"/>
          <w:b w:val="0"/>
          <w:bCs w:val="0"/>
          <w:color w:val="auto"/>
          <w:sz w:val="24"/>
          <w:szCs w:val="24"/>
          <w:highlight w:val="none"/>
          <w:lang w:bidi="zh-CN"/>
        </w:rPr>
      </w:pPr>
      <w:r>
        <w:rPr>
          <w:rFonts w:hint="eastAsia" w:ascii="宋体" w:hAnsi="宋体" w:eastAsia="宋体" w:cs="宋体"/>
          <w:b w:val="0"/>
          <w:bCs w:val="0"/>
          <w:color w:val="auto"/>
          <w:sz w:val="24"/>
          <w:szCs w:val="24"/>
          <w:highlight w:val="none"/>
          <w:lang w:bidi="zh-CN"/>
        </w:rPr>
        <w:t>（</w:t>
      </w:r>
      <w:r>
        <w:rPr>
          <w:rFonts w:hint="eastAsia" w:ascii="宋体" w:hAnsi="宋体" w:eastAsia="宋体" w:cs="宋体"/>
          <w:b w:val="0"/>
          <w:bCs w:val="0"/>
          <w:color w:val="auto"/>
          <w:sz w:val="24"/>
          <w:szCs w:val="24"/>
          <w:highlight w:val="none"/>
          <w:lang w:val="en-US" w:bidi="zh-CN"/>
        </w:rPr>
        <w:t>2</w:t>
      </w:r>
      <w:r>
        <w:rPr>
          <w:rFonts w:hint="eastAsia" w:ascii="宋体" w:hAnsi="宋体" w:eastAsia="宋体" w:cs="宋体"/>
          <w:b w:val="0"/>
          <w:bCs w:val="0"/>
          <w:color w:val="auto"/>
          <w:sz w:val="24"/>
          <w:szCs w:val="24"/>
          <w:highlight w:val="none"/>
          <w:lang w:bidi="zh-CN"/>
        </w:rPr>
        <w:t>）要求</w:t>
      </w:r>
      <w:r>
        <w:rPr>
          <w:rFonts w:hint="eastAsia" w:ascii="宋体" w:hAnsi="宋体" w:eastAsia="宋体" w:cs="宋体"/>
          <w:b w:val="0"/>
          <w:bCs w:val="0"/>
          <w:color w:val="auto"/>
          <w:sz w:val="24"/>
          <w:szCs w:val="24"/>
          <w:highlight w:val="none"/>
          <w:lang w:val="en-US" w:bidi="zh-CN"/>
        </w:rPr>
        <w:t>中标人</w:t>
      </w:r>
      <w:r>
        <w:rPr>
          <w:rFonts w:hint="eastAsia" w:ascii="宋体" w:hAnsi="宋体" w:eastAsia="宋体" w:cs="宋体"/>
          <w:b w:val="0"/>
          <w:bCs w:val="0"/>
          <w:color w:val="auto"/>
          <w:sz w:val="24"/>
          <w:szCs w:val="24"/>
          <w:highlight w:val="none"/>
          <w:lang w:bidi="zh-CN"/>
        </w:rPr>
        <w:t>以公司基本账户转账的形式缴纳至</w:t>
      </w:r>
      <w:r>
        <w:rPr>
          <w:rFonts w:hint="eastAsia" w:ascii="宋体" w:hAnsi="宋体" w:eastAsia="宋体" w:cs="宋体"/>
          <w:b w:val="0"/>
          <w:bCs w:val="0"/>
          <w:color w:val="auto"/>
          <w:sz w:val="24"/>
          <w:szCs w:val="24"/>
          <w:highlight w:val="none"/>
          <w:lang w:val="en-US" w:bidi="zh-CN"/>
        </w:rPr>
        <w:t>招标人</w:t>
      </w:r>
      <w:r>
        <w:rPr>
          <w:rFonts w:hint="eastAsia" w:ascii="宋体" w:hAnsi="宋体" w:eastAsia="宋体" w:cs="宋体"/>
          <w:b w:val="0"/>
          <w:bCs w:val="0"/>
          <w:color w:val="auto"/>
          <w:sz w:val="24"/>
          <w:szCs w:val="24"/>
          <w:highlight w:val="none"/>
          <w:lang w:bidi="zh-CN"/>
        </w:rPr>
        <w:t>指定账户。</w:t>
      </w:r>
    </w:p>
    <w:p w14:paraId="4D856CB8">
      <w:pPr>
        <w:spacing w:line="360" w:lineRule="auto"/>
        <w:ind w:firstLine="435"/>
        <w:rPr>
          <w:rFonts w:hint="eastAsia" w:ascii="宋体" w:hAnsi="宋体" w:eastAsia="宋体"/>
          <w:sz w:val="24"/>
          <w:highlight w:val="none"/>
        </w:rPr>
      </w:pPr>
      <w:r>
        <w:rPr>
          <w:rFonts w:hint="eastAsia"/>
          <w:sz w:val="24"/>
          <w:highlight w:val="none"/>
          <w:lang w:val="en-US" w:eastAsia="zh-CN"/>
        </w:rPr>
        <w:t>11</w:t>
      </w:r>
      <w:r>
        <w:rPr>
          <w:rFonts w:hint="eastAsia" w:ascii="宋体" w:hAnsi="宋体" w:eastAsia="宋体"/>
          <w:sz w:val="24"/>
          <w:highlight w:val="none"/>
        </w:rPr>
        <w:t>.在施工阶段，中标人应指派相应的设计组成员随时配合，一般问题电话联系后 24 小时内到场，紧急问题 3 小时内到场，及时解决施工中涉及的设计问题和现场的相关技术问题，提出经济合理的解决方案，并根据招标人要求参与项目各项验收工作，所发生的交通等费用自理，每延误一次承担 1000 元的违约金。</w:t>
      </w:r>
    </w:p>
    <w:p w14:paraId="21819FB5">
      <w:pPr>
        <w:spacing w:line="360" w:lineRule="auto"/>
        <w:ind w:firstLine="435"/>
        <w:rPr>
          <w:rFonts w:hint="eastAsia" w:ascii="宋体" w:hAnsi="宋体" w:eastAsia="宋体"/>
          <w:sz w:val="24"/>
          <w:highlight w:val="none"/>
        </w:rPr>
      </w:pPr>
      <w:r>
        <w:rPr>
          <w:rFonts w:hint="eastAsia"/>
          <w:sz w:val="24"/>
          <w:highlight w:val="none"/>
          <w:lang w:val="en-US" w:eastAsia="zh-CN"/>
        </w:rPr>
        <w:t>12</w:t>
      </w:r>
      <w:r>
        <w:rPr>
          <w:rFonts w:hint="eastAsia" w:ascii="宋体" w:hAnsi="宋体" w:eastAsia="宋体"/>
          <w:sz w:val="24"/>
          <w:highlight w:val="none"/>
        </w:rPr>
        <w:t xml:space="preserve">.中标人需及时处理现场设计变更事项、补充设计缺陷或修改设计，及时向招标人提交经修改或补充的设计文件，以满足施工要求，每延误一次承担 1000 元的违约金。 </w:t>
      </w:r>
    </w:p>
    <w:p w14:paraId="121673F0">
      <w:pPr>
        <w:spacing w:line="360" w:lineRule="auto"/>
        <w:ind w:firstLine="435"/>
        <w:rPr>
          <w:rFonts w:hint="eastAsia" w:ascii="宋体" w:hAnsi="宋体" w:eastAsia="宋体"/>
          <w:sz w:val="24"/>
          <w:highlight w:val="none"/>
        </w:rPr>
      </w:pPr>
      <w:r>
        <w:rPr>
          <w:rFonts w:hint="eastAsia"/>
          <w:sz w:val="24"/>
          <w:highlight w:val="none"/>
          <w:lang w:val="en-US" w:eastAsia="zh-CN"/>
        </w:rPr>
        <w:t>13</w:t>
      </w:r>
      <w:r>
        <w:rPr>
          <w:rFonts w:hint="eastAsia" w:ascii="宋体" w:hAnsi="宋体" w:eastAsia="宋体"/>
          <w:sz w:val="24"/>
          <w:highlight w:val="none"/>
        </w:rPr>
        <w:t>.所有设计变更必须经招标人同意后方可进行，且设计变更单必须经招标人下发给施工、监理单位。未经招标人同意，中标人擅自进行变更的，或擅自将变更单发放给施工、监理单位的，每发现一次，中标人承担 5000元的违约金，如因此给招标人造成损失的，招标人保留追诉中标人赔偿损失的权利。</w:t>
      </w:r>
    </w:p>
    <w:p w14:paraId="4749CB11">
      <w:pPr>
        <w:pStyle w:val="2"/>
        <w:rPr>
          <w:rFonts w:hint="eastAsia"/>
        </w:rPr>
      </w:pPr>
    </w:p>
    <w:p w14:paraId="75B621C0">
      <w:pPr>
        <w:pStyle w:val="2"/>
        <w:rPr>
          <w:rFonts w:hint="default"/>
          <w:lang w:val="en-US" w:eastAsia="zh-CN"/>
        </w:rPr>
      </w:pPr>
    </w:p>
    <w:p w14:paraId="648CF700">
      <w:pPr>
        <w:rPr>
          <w:rFonts w:hint="eastAsia"/>
          <w:b/>
          <w:sz w:val="28"/>
        </w:rPr>
      </w:pPr>
      <w:r>
        <w:rPr>
          <w:rFonts w:hint="eastAsia"/>
          <w:b/>
          <w:sz w:val="28"/>
        </w:rPr>
        <w:br w:type="page"/>
      </w:r>
    </w:p>
    <w:p w14:paraId="09664ADF">
      <w:pPr>
        <w:spacing w:line="360" w:lineRule="auto"/>
        <w:jc w:val="center"/>
        <w:outlineLvl w:val="0"/>
        <w:rPr>
          <w:b/>
          <w:sz w:val="28"/>
        </w:rPr>
      </w:pPr>
      <w:r>
        <w:rPr>
          <w:rFonts w:hint="eastAsia"/>
          <w:b/>
          <w:sz w:val="28"/>
        </w:rPr>
        <w:t>第四章  评审方法和标准</w:t>
      </w:r>
      <w:bookmarkEnd w:id="42"/>
    </w:p>
    <w:p w14:paraId="150FCE74">
      <w:pPr>
        <w:spacing w:line="360" w:lineRule="auto"/>
        <w:ind w:firstLine="437"/>
        <w:outlineLvl w:val="1"/>
        <w:rPr>
          <w:b/>
          <w:sz w:val="24"/>
        </w:rPr>
      </w:pPr>
      <w:bookmarkStart w:id="44" w:name="_Toc19546"/>
      <w:bookmarkStart w:id="45" w:name="_Toc983"/>
      <w:bookmarkStart w:id="46" w:name="_Toc19552"/>
      <w:bookmarkStart w:id="47" w:name="_Toc31242"/>
      <w:r>
        <w:rPr>
          <w:rFonts w:hint="eastAsia"/>
          <w:b/>
          <w:sz w:val="24"/>
        </w:rPr>
        <w:t>一、总则</w:t>
      </w:r>
      <w:bookmarkEnd w:id="44"/>
      <w:bookmarkEnd w:id="45"/>
      <w:bookmarkEnd w:id="46"/>
      <w:bookmarkEnd w:id="47"/>
    </w:p>
    <w:p w14:paraId="18F686C8">
      <w:pPr>
        <w:spacing w:line="360" w:lineRule="auto"/>
        <w:ind w:firstLine="435"/>
        <w:rPr>
          <w:sz w:val="24"/>
        </w:rPr>
      </w:pPr>
      <w:r>
        <w:rPr>
          <w:rFonts w:hint="eastAsia"/>
          <w:sz w:val="24"/>
        </w:rPr>
        <w:t>本项目将按照磋商文件第二章 供应商须知的相关要求</w:t>
      </w:r>
      <w:r>
        <w:rPr>
          <w:sz w:val="24"/>
        </w:rPr>
        <w:t>及本章的规定</w:t>
      </w:r>
      <w:r>
        <w:rPr>
          <w:rFonts w:hint="eastAsia"/>
          <w:sz w:val="24"/>
        </w:rPr>
        <w:t>评审</w:t>
      </w:r>
      <w:r>
        <w:rPr>
          <w:sz w:val="24"/>
        </w:rPr>
        <w:t>。</w:t>
      </w:r>
    </w:p>
    <w:p w14:paraId="5555E6DF">
      <w:pPr>
        <w:spacing w:line="360" w:lineRule="auto"/>
        <w:ind w:firstLine="437"/>
        <w:outlineLvl w:val="1"/>
        <w:rPr>
          <w:b/>
          <w:sz w:val="24"/>
        </w:rPr>
      </w:pPr>
      <w:bookmarkStart w:id="48" w:name="_Toc30562"/>
      <w:bookmarkStart w:id="49" w:name="_Toc4201"/>
      <w:bookmarkStart w:id="50" w:name="_Toc20256"/>
      <w:bookmarkStart w:id="51" w:name="_Toc10619"/>
      <w:r>
        <w:rPr>
          <w:rFonts w:hint="eastAsia"/>
          <w:b/>
          <w:sz w:val="24"/>
        </w:rPr>
        <w:t>二、评审方法</w:t>
      </w:r>
      <w:bookmarkEnd w:id="48"/>
      <w:bookmarkEnd w:id="49"/>
      <w:bookmarkEnd w:id="50"/>
      <w:bookmarkEnd w:id="51"/>
    </w:p>
    <w:p w14:paraId="10C24805">
      <w:pPr>
        <w:spacing w:line="360" w:lineRule="auto"/>
        <w:ind w:firstLine="435"/>
        <w:outlineLvl w:val="2"/>
        <w:rPr>
          <w:sz w:val="24"/>
        </w:rPr>
      </w:pPr>
      <w:r>
        <w:rPr>
          <w:rFonts w:hint="eastAsia"/>
          <w:sz w:val="24"/>
        </w:rPr>
        <w:t>2.1初审</w:t>
      </w:r>
    </w:p>
    <w:p w14:paraId="376C703D">
      <w:pPr>
        <w:spacing w:line="360" w:lineRule="auto"/>
        <w:ind w:firstLine="435"/>
        <w:rPr>
          <w:sz w:val="24"/>
        </w:rPr>
      </w:pPr>
      <w:r>
        <w:rPr>
          <w:rFonts w:hint="eastAsia"/>
          <w:sz w:val="24"/>
        </w:rPr>
        <w:t>磋商小组对供应商的响应文件进行初审，以确定其是否满足磋商文件的实质性要求。初审表如下：</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657"/>
        <w:gridCol w:w="6149"/>
      </w:tblGrid>
      <w:tr w14:paraId="0BB93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3"/>
            <w:tcBorders>
              <w:bottom w:val="single" w:color="auto" w:sz="4" w:space="0"/>
            </w:tcBorders>
            <w:vAlign w:val="center"/>
          </w:tcPr>
          <w:p w14:paraId="37DFBC2A">
            <w:pPr>
              <w:adjustRightInd w:val="0"/>
              <w:snapToGrid w:val="0"/>
              <w:spacing w:line="360" w:lineRule="auto"/>
              <w:ind w:right="-10"/>
              <w:jc w:val="center"/>
              <w:rPr>
                <w:b/>
                <w:sz w:val="24"/>
              </w:rPr>
            </w:pPr>
            <w:r>
              <w:rPr>
                <w:rFonts w:hint="eastAsia"/>
                <w:b/>
                <w:sz w:val="24"/>
              </w:rPr>
              <w:t>初审表</w:t>
            </w:r>
          </w:p>
        </w:tc>
      </w:tr>
      <w:tr w14:paraId="0131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68853E8F">
            <w:pPr>
              <w:adjustRightInd w:val="0"/>
              <w:snapToGrid w:val="0"/>
              <w:spacing w:line="360" w:lineRule="auto"/>
              <w:ind w:right="-10"/>
              <w:jc w:val="center"/>
              <w:rPr>
                <w:b/>
                <w:sz w:val="24"/>
              </w:rPr>
            </w:pPr>
            <w:r>
              <w:rPr>
                <w:rFonts w:hint="eastAsia"/>
                <w:b/>
                <w:sz w:val="24"/>
              </w:rPr>
              <w:t>序号</w:t>
            </w:r>
          </w:p>
        </w:tc>
        <w:tc>
          <w:tcPr>
            <w:tcW w:w="1657" w:type="dxa"/>
            <w:tcBorders>
              <w:bottom w:val="single" w:color="auto" w:sz="4" w:space="0"/>
            </w:tcBorders>
            <w:vAlign w:val="center"/>
          </w:tcPr>
          <w:p w14:paraId="30C682C3">
            <w:pPr>
              <w:pStyle w:val="40"/>
              <w:pBdr>
                <w:bottom w:val="none" w:color="auto" w:sz="0" w:space="0"/>
              </w:pBdr>
              <w:tabs>
                <w:tab w:val="clear" w:pos="4153"/>
                <w:tab w:val="clear" w:pos="8306"/>
              </w:tabs>
              <w:snapToGrid w:val="0"/>
              <w:spacing w:line="360" w:lineRule="auto"/>
              <w:ind w:right="-10"/>
              <w:textAlignment w:val="auto"/>
              <w:rPr>
                <w:b/>
                <w:kern w:val="2"/>
                <w:szCs w:val="24"/>
              </w:rPr>
            </w:pPr>
            <w:r>
              <w:rPr>
                <w:rFonts w:hint="eastAsia"/>
                <w:b/>
                <w:kern w:val="2"/>
                <w:szCs w:val="24"/>
              </w:rPr>
              <w:t>评审指标</w:t>
            </w:r>
          </w:p>
        </w:tc>
        <w:tc>
          <w:tcPr>
            <w:tcW w:w="6149" w:type="dxa"/>
            <w:tcBorders>
              <w:bottom w:val="single" w:color="auto" w:sz="4" w:space="0"/>
            </w:tcBorders>
            <w:vAlign w:val="center"/>
          </w:tcPr>
          <w:p w14:paraId="1233653E">
            <w:pPr>
              <w:adjustRightInd w:val="0"/>
              <w:snapToGrid w:val="0"/>
              <w:spacing w:line="360" w:lineRule="auto"/>
              <w:ind w:right="-10"/>
              <w:jc w:val="center"/>
              <w:rPr>
                <w:b/>
                <w:sz w:val="24"/>
              </w:rPr>
            </w:pPr>
            <w:r>
              <w:rPr>
                <w:rFonts w:hint="eastAsia"/>
                <w:b/>
                <w:sz w:val="24"/>
              </w:rPr>
              <w:t>合格条件</w:t>
            </w:r>
          </w:p>
        </w:tc>
      </w:tr>
      <w:tr w14:paraId="1D726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099D5719">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1</w:t>
            </w:r>
          </w:p>
        </w:tc>
        <w:tc>
          <w:tcPr>
            <w:tcW w:w="1657" w:type="dxa"/>
            <w:tcBorders>
              <w:bottom w:val="single" w:color="auto" w:sz="4" w:space="0"/>
            </w:tcBorders>
            <w:vAlign w:val="center"/>
          </w:tcPr>
          <w:p w14:paraId="41487646">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营业执照</w:t>
            </w:r>
          </w:p>
        </w:tc>
        <w:tc>
          <w:tcPr>
            <w:tcW w:w="6149" w:type="dxa"/>
            <w:tcBorders>
              <w:bottom w:val="single" w:color="auto" w:sz="4" w:space="0"/>
            </w:tcBorders>
            <w:vAlign w:val="center"/>
          </w:tcPr>
          <w:p w14:paraId="2E96B43A">
            <w:pPr>
              <w:adjustRightInd w:val="0"/>
              <w:snapToGrid w:val="0"/>
              <w:spacing w:line="360" w:lineRule="auto"/>
              <w:ind w:right="-10"/>
              <w:jc w:val="left"/>
              <w:rPr>
                <w:sz w:val="24"/>
              </w:rPr>
            </w:pPr>
            <w:r>
              <w:rPr>
                <w:rFonts w:hint="eastAsia"/>
                <w:sz w:val="24"/>
              </w:rPr>
              <w:t>提供有效的营业执照扫描件，应完整的体现出营业执照的全部内容。</w:t>
            </w:r>
          </w:p>
        </w:tc>
      </w:tr>
      <w:tr w14:paraId="7003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0C237BAE">
            <w:pPr>
              <w:pStyle w:val="40"/>
              <w:pBdr>
                <w:bottom w:val="none" w:color="auto" w:sz="0" w:space="0"/>
              </w:pBdr>
              <w:tabs>
                <w:tab w:val="clear" w:pos="4153"/>
                <w:tab w:val="clear" w:pos="8306"/>
              </w:tabs>
              <w:snapToGrid w:val="0"/>
              <w:spacing w:line="360" w:lineRule="auto"/>
              <w:ind w:right="-10"/>
              <w:textAlignment w:val="auto"/>
              <w:rPr>
                <w:rFonts w:hint="default"/>
                <w:lang w:val="en-US" w:eastAsia="zh-CN"/>
              </w:rPr>
            </w:pPr>
            <w:r>
              <w:rPr>
                <w:rFonts w:hint="eastAsia"/>
                <w:lang w:val="en-US" w:eastAsia="zh-CN"/>
              </w:rPr>
              <w:t>2</w:t>
            </w:r>
          </w:p>
        </w:tc>
        <w:tc>
          <w:tcPr>
            <w:tcW w:w="1657" w:type="dxa"/>
            <w:tcBorders>
              <w:bottom w:val="single" w:color="auto" w:sz="4" w:space="0"/>
            </w:tcBorders>
            <w:vAlign w:val="center"/>
          </w:tcPr>
          <w:p w14:paraId="5E781B15">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资质要求</w:t>
            </w:r>
          </w:p>
        </w:tc>
        <w:tc>
          <w:tcPr>
            <w:tcW w:w="6149" w:type="dxa"/>
            <w:tcBorders>
              <w:bottom w:val="single" w:color="auto" w:sz="4" w:space="0"/>
            </w:tcBorders>
            <w:vAlign w:val="center"/>
          </w:tcPr>
          <w:p w14:paraId="6318ABE2">
            <w:pPr>
              <w:adjustRightInd w:val="0"/>
              <w:snapToGrid w:val="0"/>
              <w:spacing w:line="360" w:lineRule="auto"/>
              <w:ind w:right="-10"/>
              <w:jc w:val="left"/>
              <w:rPr>
                <w:rFonts w:hint="default" w:eastAsia="宋体"/>
                <w:sz w:val="24"/>
                <w:lang w:val="en-US" w:eastAsia="zh-CN"/>
              </w:rPr>
            </w:pPr>
            <w:r>
              <w:rPr>
                <w:rFonts w:hint="eastAsia"/>
                <w:sz w:val="24"/>
                <w:lang w:val="en-US" w:eastAsia="zh-CN"/>
              </w:rPr>
              <w:t>符合磋商文件规定。</w:t>
            </w:r>
          </w:p>
        </w:tc>
      </w:tr>
      <w:tr w14:paraId="10197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tcBorders>
              <w:bottom w:val="single" w:color="auto" w:sz="4" w:space="0"/>
            </w:tcBorders>
            <w:vAlign w:val="center"/>
          </w:tcPr>
          <w:p w14:paraId="1FECBB6D">
            <w:pPr>
              <w:pStyle w:val="40"/>
              <w:pBdr>
                <w:bottom w:val="none" w:color="auto" w:sz="0" w:space="0"/>
              </w:pBdr>
              <w:tabs>
                <w:tab w:val="clear" w:pos="4153"/>
                <w:tab w:val="clear" w:pos="8306"/>
              </w:tabs>
              <w:snapToGrid w:val="0"/>
              <w:spacing w:line="360" w:lineRule="auto"/>
              <w:ind w:right="-10"/>
              <w:textAlignment w:val="auto"/>
              <w:rPr>
                <w:rFonts w:hint="default"/>
                <w:lang w:val="en-US" w:eastAsia="zh-CN"/>
              </w:rPr>
            </w:pPr>
            <w:r>
              <w:rPr>
                <w:rFonts w:hint="eastAsia"/>
                <w:lang w:val="en-US" w:eastAsia="zh-CN"/>
              </w:rPr>
              <w:t>3</w:t>
            </w:r>
          </w:p>
        </w:tc>
        <w:tc>
          <w:tcPr>
            <w:tcW w:w="1657" w:type="dxa"/>
            <w:tcBorders>
              <w:bottom w:val="single" w:color="auto" w:sz="4" w:space="0"/>
            </w:tcBorders>
            <w:vAlign w:val="center"/>
          </w:tcPr>
          <w:p w14:paraId="49D5E157">
            <w:pPr>
              <w:pStyle w:val="40"/>
              <w:pBdr>
                <w:bottom w:val="none" w:color="auto" w:sz="0" w:space="0"/>
              </w:pBdr>
              <w:tabs>
                <w:tab w:val="clear" w:pos="4153"/>
                <w:tab w:val="clear" w:pos="8306"/>
              </w:tabs>
              <w:snapToGrid w:val="0"/>
              <w:spacing w:line="360" w:lineRule="auto"/>
              <w:ind w:right="-10"/>
              <w:textAlignment w:val="auto"/>
              <w:rPr>
                <w:rFonts w:hint="default"/>
                <w:lang w:val="en-US" w:eastAsia="zh-CN"/>
              </w:rPr>
            </w:pPr>
            <w:r>
              <w:rPr>
                <w:rFonts w:hint="eastAsia"/>
                <w:lang w:val="en-US" w:eastAsia="zh-CN"/>
              </w:rPr>
              <w:t>项目负责人</w:t>
            </w:r>
          </w:p>
        </w:tc>
        <w:tc>
          <w:tcPr>
            <w:tcW w:w="6149" w:type="dxa"/>
            <w:tcBorders>
              <w:bottom w:val="single" w:color="auto" w:sz="4" w:space="0"/>
            </w:tcBorders>
            <w:vAlign w:val="center"/>
          </w:tcPr>
          <w:p w14:paraId="375620AA">
            <w:pPr>
              <w:spacing w:line="360" w:lineRule="auto"/>
              <w:jc w:val="both"/>
              <w:rPr>
                <w:rFonts w:hint="eastAsia"/>
                <w:color w:val="auto"/>
                <w:sz w:val="24"/>
                <w:highlight w:val="none"/>
                <w:lang w:val="en-US" w:eastAsia="zh-CN"/>
              </w:rPr>
            </w:pPr>
            <w:r>
              <w:rPr>
                <w:rFonts w:hint="eastAsia"/>
                <w:sz w:val="24"/>
                <w:lang w:val="en-US" w:eastAsia="zh-CN"/>
              </w:rPr>
              <w:t>提供第三章采购需求中符合要求的证书，及供应商</w:t>
            </w:r>
            <w:r>
              <w:rPr>
                <w:rFonts w:hint="eastAsia"/>
                <w:color w:val="auto"/>
                <w:sz w:val="24"/>
                <w:highlight w:val="none"/>
                <w:lang w:val="en-US" w:eastAsia="zh-CN"/>
              </w:rPr>
              <w:t>所属社保机构出具的项目负责人的2025年1月1日以来任意连续三个月的社保缴费证明（或其他能够证明项目负责人参加社保的有效证明）材料，项目负责人的社保缴纳单位应当是供应商或者供应商不具备独立法人资格的分支机构。</w:t>
            </w:r>
          </w:p>
          <w:p w14:paraId="487A8BDE">
            <w:pPr>
              <w:spacing w:line="360" w:lineRule="auto"/>
              <w:jc w:val="both"/>
              <w:rPr>
                <w:rFonts w:hint="eastAsia"/>
                <w:sz w:val="24"/>
                <w:lang w:val="en-US" w:eastAsia="zh-CN"/>
              </w:rPr>
            </w:pPr>
            <w:r>
              <w:rPr>
                <w:rFonts w:hint="eastAsia"/>
                <w:color w:val="auto"/>
                <w:sz w:val="24"/>
                <w:highlight w:val="none"/>
                <w:lang w:val="en-US" w:eastAsia="zh-CN"/>
              </w:rPr>
              <w:t>（社保缴费证明或社保的有效证明材料至少含养老保险）</w:t>
            </w:r>
            <w:r>
              <w:rPr>
                <w:rFonts w:hint="eastAsia"/>
                <w:sz w:val="24"/>
                <w:lang w:val="en-US" w:eastAsia="zh-CN"/>
              </w:rPr>
              <w:t>。</w:t>
            </w:r>
          </w:p>
        </w:tc>
      </w:tr>
      <w:tr w14:paraId="700FB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4C67AE4B">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4</w:t>
            </w:r>
          </w:p>
        </w:tc>
        <w:tc>
          <w:tcPr>
            <w:tcW w:w="1657" w:type="dxa"/>
            <w:vAlign w:val="center"/>
          </w:tcPr>
          <w:p w14:paraId="3DBAC429">
            <w:pPr>
              <w:pStyle w:val="40"/>
              <w:pBdr>
                <w:bottom w:val="none" w:color="auto" w:sz="0" w:space="0"/>
              </w:pBdr>
              <w:tabs>
                <w:tab w:val="clear" w:pos="4153"/>
                <w:tab w:val="clear" w:pos="8306"/>
              </w:tabs>
              <w:snapToGrid w:val="0"/>
              <w:spacing w:line="360" w:lineRule="auto"/>
              <w:ind w:right="-10"/>
              <w:textAlignment w:val="auto"/>
              <w:rPr>
                <w:rFonts w:hint="default" w:eastAsia="宋体"/>
                <w:kern w:val="2"/>
                <w:szCs w:val="24"/>
                <w:lang w:val="en-US" w:eastAsia="zh-CN"/>
              </w:rPr>
            </w:pPr>
            <w:r>
              <w:rPr>
                <w:rFonts w:hint="eastAsia"/>
              </w:rPr>
              <w:t>磋商</w:t>
            </w:r>
            <w:r>
              <w:rPr>
                <w:rFonts w:hint="eastAsia"/>
                <w:lang w:val="en-US" w:eastAsia="zh-CN"/>
              </w:rPr>
              <w:t>文件电子交易服务费</w:t>
            </w:r>
          </w:p>
        </w:tc>
        <w:tc>
          <w:tcPr>
            <w:tcW w:w="6149" w:type="dxa"/>
            <w:vAlign w:val="center"/>
          </w:tcPr>
          <w:p w14:paraId="09805A21">
            <w:pPr>
              <w:spacing w:line="360" w:lineRule="auto"/>
              <w:jc w:val="left"/>
              <w:rPr>
                <w:sz w:val="24"/>
              </w:rPr>
            </w:pPr>
            <w:r>
              <w:rPr>
                <w:rFonts w:hint="eastAsia"/>
                <w:sz w:val="24"/>
              </w:rPr>
              <w:t>符合磋商文件要求。</w:t>
            </w:r>
          </w:p>
          <w:p w14:paraId="21B12158">
            <w:pPr>
              <w:spacing w:line="360" w:lineRule="auto"/>
              <w:jc w:val="left"/>
              <w:rPr>
                <w:sz w:val="24"/>
              </w:rPr>
            </w:pPr>
            <w:r>
              <w:rPr>
                <w:rFonts w:hint="eastAsia"/>
                <w:b/>
                <w:bCs/>
                <w:sz w:val="24"/>
              </w:rPr>
              <w:t>备注</w:t>
            </w:r>
            <w:r>
              <w:rPr>
                <w:b/>
                <w:bCs/>
                <w:sz w:val="24"/>
              </w:rPr>
              <w:t>：</w:t>
            </w:r>
            <w:r>
              <w:rPr>
                <w:rFonts w:hint="eastAsia"/>
                <w:b/>
                <w:bCs/>
                <w:sz w:val="24"/>
              </w:rPr>
              <w:t>提供</w:t>
            </w:r>
            <w:r>
              <w:rPr>
                <w:rFonts w:hint="eastAsia"/>
                <w:b/>
                <w:bCs/>
                <w:sz w:val="24"/>
                <w:lang w:val="en-US" w:eastAsia="zh-CN"/>
              </w:rPr>
              <w:t>电子交易服务费</w:t>
            </w:r>
            <w:r>
              <w:rPr>
                <w:rFonts w:hint="eastAsia"/>
                <w:b/>
                <w:bCs/>
                <w:sz w:val="24"/>
              </w:rPr>
              <w:t>转账回单截图，需从供应商银行账户转出。</w:t>
            </w:r>
            <w:r>
              <w:rPr>
                <w:rFonts w:hint="eastAsia" w:cs="宋体"/>
                <w:b/>
                <w:bCs/>
                <w:sz w:val="24"/>
                <w:szCs w:val="24"/>
              </w:rPr>
              <w:t>（以</w:t>
            </w:r>
            <w:r>
              <w:rPr>
                <w:rFonts w:hint="eastAsia" w:cs="宋体"/>
                <w:b/>
                <w:bCs/>
                <w:sz w:val="24"/>
                <w:szCs w:val="24"/>
                <w:lang w:val="en-US" w:eastAsia="zh-CN"/>
              </w:rPr>
              <w:t>代理机构</w:t>
            </w:r>
            <w:r>
              <w:rPr>
                <w:rFonts w:hint="eastAsia" w:cs="宋体"/>
                <w:b/>
                <w:bCs/>
                <w:sz w:val="24"/>
                <w:szCs w:val="24"/>
              </w:rPr>
              <w:t>财务查询为准）</w:t>
            </w:r>
          </w:p>
        </w:tc>
      </w:tr>
      <w:tr w14:paraId="254E8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7EFDB382">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5</w:t>
            </w:r>
          </w:p>
        </w:tc>
        <w:tc>
          <w:tcPr>
            <w:tcW w:w="1657" w:type="dxa"/>
            <w:vAlign w:val="center"/>
          </w:tcPr>
          <w:p w14:paraId="5BF0C487">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授权书</w:t>
            </w:r>
          </w:p>
        </w:tc>
        <w:tc>
          <w:tcPr>
            <w:tcW w:w="6149" w:type="dxa"/>
            <w:vAlign w:val="center"/>
          </w:tcPr>
          <w:p w14:paraId="7EC1C557">
            <w:pPr>
              <w:adjustRightInd w:val="0"/>
              <w:snapToGrid w:val="0"/>
              <w:spacing w:line="360" w:lineRule="auto"/>
              <w:ind w:right="-10"/>
              <w:jc w:val="left"/>
              <w:rPr>
                <w:sz w:val="24"/>
              </w:rPr>
            </w:pPr>
            <w:r>
              <w:rPr>
                <w:rFonts w:hint="eastAsia"/>
                <w:sz w:val="24"/>
              </w:rPr>
              <w:t>符合磋商文件要求。</w:t>
            </w:r>
          </w:p>
        </w:tc>
      </w:tr>
      <w:tr w14:paraId="6D0D0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19A7C879">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6</w:t>
            </w:r>
          </w:p>
        </w:tc>
        <w:tc>
          <w:tcPr>
            <w:tcW w:w="1657" w:type="dxa"/>
            <w:vAlign w:val="center"/>
          </w:tcPr>
          <w:p w14:paraId="55092956">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磋商响应函</w:t>
            </w:r>
          </w:p>
        </w:tc>
        <w:tc>
          <w:tcPr>
            <w:tcW w:w="6149" w:type="dxa"/>
            <w:vAlign w:val="center"/>
          </w:tcPr>
          <w:p w14:paraId="0DF5D2FC">
            <w:pPr>
              <w:adjustRightInd w:val="0"/>
              <w:snapToGrid w:val="0"/>
              <w:spacing w:line="360" w:lineRule="auto"/>
              <w:ind w:right="-10"/>
              <w:jc w:val="left"/>
              <w:rPr>
                <w:sz w:val="24"/>
              </w:rPr>
            </w:pPr>
            <w:r>
              <w:rPr>
                <w:rFonts w:hint="eastAsia"/>
                <w:sz w:val="24"/>
              </w:rPr>
              <w:t>符合磋商文件要求。</w:t>
            </w:r>
          </w:p>
        </w:tc>
      </w:tr>
      <w:tr w14:paraId="7734D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CBAB7AF">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7</w:t>
            </w:r>
          </w:p>
        </w:tc>
        <w:tc>
          <w:tcPr>
            <w:tcW w:w="1657" w:type="dxa"/>
            <w:vAlign w:val="center"/>
          </w:tcPr>
          <w:p w14:paraId="3A8391D4">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不良信用记录查询</w:t>
            </w:r>
          </w:p>
        </w:tc>
        <w:tc>
          <w:tcPr>
            <w:tcW w:w="6149" w:type="dxa"/>
            <w:vAlign w:val="center"/>
          </w:tcPr>
          <w:p w14:paraId="57948F84">
            <w:pPr>
              <w:adjustRightInd w:val="0"/>
              <w:snapToGrid w:val="0"/>
              <w:spacing w:line="360" w:lineRule="auto"/>
              <w:ind w:right="-10"/>
              <w:jc w:val="left"/>
              <w:rPr>
                <w:sz w:val="24"/>
              </w:rPr>
            </w:pPr>
            <w:r>
              <w:rPr>
                <w:rFonts w:hint="eastAsia"/>
                <w:sz w:val="24"/>
              </w:rPr>
              <w:t>供应商不得存在供应商须知第</w:t>
            </w:r>
            <w:r>
              <w:rPr>
                <w:sz w:val="24"/>
              </w:rPr>
              <w:t>1</w:t>
            </w:r>
            <w:r>
              <w:rPr>
                <w:rFonts w:hint="eastAsia"/>
                <w:sz w:val="24"/>
              </w:rPr>
              <w:t>5</w:t>
            </w:r>
            <w:r>
              <w:rPr>
                <w:sz w:val="24"/>
              </w:rPr>
              <w:t>.3.1.1</w:t>
            </w:r>
            <w:r>
              <w:rPr>
                <w:rFonts w:hint="eastAsia"/>
                <w:sz w:val="24"/>
              </w:rPr>
              <w:t>条中的不良信用记录情形。</w:t>
            </w:r>
          </w:p>
          <w:p w14:paraId="105D1555">
            <w:pPr>
              <w:pStyle w:val="21"/>
              <w:ind w:left="0" w:leftChars="0" w:firstLine="0" w:firstLineChars="0"/>
            </w:pPr>
            <w:r>
              <w:rPr>
                <w:rFonts w:hint="eastAsia"/>
                <w:b/>
                <w:bCs/>
                <w:sz w:val="24"/>
              </w:rPr>
              <w:t>备注</w:t>
            </w:r>
            <w:r>
              <w:rPr>
                <w:b/>
                <w:bCs/>
                <w:sz w:val="24"/>
              </w:rPr>
              <w:t>：</w:t>
            </w:r>
            <w:r>
              <w:rPr>
                <w:rFonts w:hint="eastAsia"/>
                <w:b/>
                <w:bCs/>
                <w:sz w:val="24"/>
              </w:rPr>
              <w:t>提供网站查询截图，</w:t>
            </w:r>
          </w:p>
        </w:tc>
      </w:tr>
      <w:tr w14:paraId="4FCD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16" w:type="dxa"/>
            <w:vAlign w:val="center"/>
          </w:tcPr>
          <w:p w14:paraId="0D480550">
            <w:pPr>
              <w:pStyle w:val="40"/>
              <w:pBdr>
                <w:bottom w:val="none" w:color="auto" w:sz="0" w:space="0"/>
              </w:pBdr>
              <w:tabs>
                <w:tab w:val="clear" w:pos="4153"/>
                <w:tab w:val="clear" w:pos="8306"/>
              </w:tabs>
              <w:snapToGrid w:val="0"/>
              <w:spacing w:line="360" w:lineRule="auto"/>
              <w:ind w:right="-10"/>
              <w:textAlignment w:val="auto"/>
              <w:rPr>
                <w:rFonts w:hint="eastAsia" w:eastAsia="宋体"/>
                <w:lang w:val="en-US" w:eastAsia="zh-CN"/>
              </w:rPr>
            </w:pPr>
            <w:r>
              <w:rPr>
                <w:rFonts w:hint="eastAsia"/>
                <w:lang w:val="en-US" w:eastAsia="zh-CN"/>
              </w:rPr>
              <w:t>8</w:t>
            </w:r>
          </w:p>
        </w:tc>
        <w:tc>
          <w:tcPr>
            <w:tcW w:w="1657" w:type="dxa"/>
            <w:vAlign w:val="center"/>
          </w:tcPr>
          <w:p w14:paraId="188EFCEC">
            <w:pPr>
              <w:pStyle w:val="40"/>
              <w:pBdr>
                <w:bottom w:val="none" w:color="auto" w:sz="0" w:space="0"/>
              </w:pBdr>
              <w:tabs>
                <w:tab w:val="clear" w:pos="4153"/>
                <w:tab w:val="clear" w:pos="8306"/>
              </w:tabs>
              <w:snapToGrid w:val="0"/>
              <w:spacing w:line="360" w:lineRule="auto"/>
              <w:ind w:right="-10"/>
              <w:textAlignment w:val="auto"/>
              <w:rPr>
                <w:kern w:val="2"/>
                <w:szCs w:val="24"/>
              </w:rPr>
            </w:pPr>
            <w:r>
              <w:rPr>
                <w:rFonts w:hint="eastAsia"/>
              </w:rPr>
              <w:t>其他要求</w:t>
            </w:r>
          </w:p>
        </w:tc>
        <w:tc>
          <w:tcPr>
            <w:tcW w:w="6149" w:type="dxa"/>
            <w:vAlign w:val="center"/>
          </w:tcPr>
          <w:p w14:paraId="7D9D6B12">
            <w:pPr>
              <w:adjustRightInd w:val="0"/>
              <w:snapToGrid w:val="0"/>
              <w:spacing w:line="360" w:lineRule="auto"/>
              <w:ind w:right="-10"/>
              <w:jc w:val="left"/>
              <w:rPr>
                <w:sz w:val="24"/>
              </w:rPr>
            </w:pPr>
            <w:r>
              <w:rPr>
                <w:rFonts w:hint="eastAsia"/>
                <w:sz w:val="24"/>
                <w:szCs w:val="28"/>
              </w:rPr>
              <w:t>符合法律、行政法规规定的其他条件或磋商文件列明的其他要求</w:t>
            </w:r>
          </w:p>
        </w:tc>
      </w:tr>
    </w:tbl>
    <w:p w14:paraId="3817E30B">
      <w:pPr>
        <w:spacing w:line="360" w:lineRule="auto"/>
        <w:ind w:firstLine="435"/>
        <w:rPr>
          <w:sz w:val="24"/>
        </w:rPr>
      </w:pPr>
      <w:r>
        <w:rPr>
          <w:rFonts w:hint="eastAsia"/>
          <w:b/>
          <w:bCs/>
          <w:sz w:val="24"/>
        </w:rPr>
        <w:t>初审指标通过标准：</w:t>
      </w:r>
      <w:r>
        <w:rPr>
          <w:rFonts w:hint="eastAsia"/>
          <w:sz w:val="24"/>
        </w:rPr>
        <w:t>供应商必须通过初审表中的全部评审指标。</w:t>
      </w:r>
    </w:p>
    <w:p w14:paraId="4A75D318">
      <w:pPr>
        <w:spacing w:line="360" w:lineRule="auto"/>
        <w:ind w:firstLine="435"/>
        <w:outlineLvl w:val="2"/>
        <w:rPr>
          <w:b/>
          <w:sz w:val="24"/>
        </w:rPr>
      </w:pPr>
      <w:r>
        <w:rPr>
          <w:rFonts w:hint="eastAsia"/>
          <w:b/>
          <w:sz w:val="24"/>
        </w:rPr>
        <w:t>2.2综合评分</w:t>
      </w:r>
    </w:p>
    <w:p w14:paraId="469EAF4A">
      <w:pPr>
        <w:spacing w:line="360" w:lineRule="auto"/>
        <w:ind w:firstLine="435"/>
        <w:rPr>
          <w:sz w:val="24"/>
        </w:rPr>
      </w:pPr>
      <w:r>
        <w:rPr>
          <w:rFonts w:hint="eastAsia"/>
          <w:sz w:val="24"/>
        </w:rPr>
        <w:t>2</w:t>
      </w:r>
      <w:r>
        <w:rPr>
          <w:sz w:val="24"/>
        </w:rPr>
        <w:t>.</w:t>
      </w:r>
      <w:r>
        <w:rPr>
          <w:rFonts w:hint="eastAsia"/>
          <w:sz w:val="24"/>
        </w:rPr>
        <w:t>2</w:t>
      </w:r>
      <w:r>
        <w:rPr>
          <w:sz w:val="24"/>
        </w:rPr>
        <w:t>.1</w:t>
      </w:r>
      <w:r>
        <w:rPr>
          <w:rFonts w:hint="eastAsia"/>
          <w:sz w:val="24"/>
        </w:rPr>
        <w:t>磋商小组按照下表对进入综合评分的所有供应商的响应文件进行综合评分。</w:t>
      </w:r>
    </w:p>
    <w:p w14:paraId="28B338D8">
      <w:pPr>
        <w:spacing w:line="360" w:lineRule="auto"/>
        <w:ind w:firstLine="435"/>
        <w:rPr>
          <w:b/>
          <w:bCs/>
          <w:sz w:val="24"/>
        </w:rPr>
      </w:pPr>
      <w:r>
        <w:rPr>
          <w:rFonts w:hint="eastAsia"/>
          <w:sz w:val="24"/>
          <w:highlight w:val="none"/>
        </w:rPr>
        <w:t>2</w:t>
      </w:r>
      <w:r>
        <w:rPr>
          <w:sz w:val="24"/>
          <w:highlight w:val="none"/>
        </w:rPr>
        <w:t>.</w:t>
      </w:r>
      <w:r>
        <w:rPr>
          <w:rFonts w:hint="eastAsia"/>
          <w:sz w:val="24"/>
          <w:highlight w:val="none"/>
        </w:rPr>
        <w:t>2</w:t>
      </w:r>
      <w:r>
        <w:rPr>
          <w:sz w:val="24"/>
          <w:highlight w:val="none"/>
        </w:rPr>
        <w:t>.2</w:t>
      </w:r>
      <w:r>
        <w:rPr>
          <w:rFonts w:hint="eastAsia"/>
          <w:b/>
          <w:bCs/>
          <w:sz w:val="24"/>
          <w:highlight w:val="none"/>
        </w:rPr>
        <w:t>本项目综合评分满分为1</w:t>
      </w:r>
      <w:r>
        <w:rPr>
          <w:b/>
          <w:bCs/>
          <w:sz w:val="24"/>
          <w:highlight w:val="none"/>
        </w:rPr>
        <w:t>00</w:t>
      </w:r>
      <w:r>
        <w:rPr>
          <w:rFonts w:hint="eastAsia"/>
          <w:b/>
          <w:bCs/>
          <w:sz w:val="24"/>
          <w:highlight w:val="none"/>
        </w:rPr>
        <w:t>分，其中：技术资信分值占总分值的权重为</w:t>
      </w:r>
      <w:r>
        <w:rPr>
          <w:rFonts w:hint="eastAsia"/>
          <w:b/>
          <w:bCs/>
          <w:sz w:val="24"/>
          <w:highlight w:val="none"/>
          <w:u w:val="single"/>
          <w:lang w:val="en-US" w:eastAsia="zh-CN"/>
        </w:rPr>
        <w:t>9</w:t>
      </w:r>
      <w:r>
        <w:rPr>
          <w:rFonts w:hint="eastAsia"/>
          <w:b/>
          <w:bCs/>
          <w:sz w:val="24"/>
          <w:highlight w:val="none"/>
          <w:u w:val="single"/>
        </w:rPr>
        <w:t>0</w:t>
      </w:r>
      <w:r>
        <w:rPr>
          <w:b/>
          <w:bCs/>
          <w:sz w:val="24"/>
          <w:highlight w:val="none"/>
        </w:rPr>
        <w:t>%，价格分值占总分值的权重为</w:t>
      </w:r>
      <w:r>
        <w:rPr>
          <w:rFonts w:hint="eastAsia"/>
          <w:b/>
          <w:bCs/>
          <w:sz w:val="24"/>
          <w:highlight w:val="none"/>
          <w:u w:val="single"/>
          <w:lang w:val="en-US" w:eastAsia="zh-CN"/>
        </w:rPr>
        <w:t>1</w:t>
      </w:r>
      <w:bookmarkStart w:id="70" w:name="_GoBack"/>
      <w:bookmarkEnd w:id="70"/>
      <w:r>
        <w:rPr>
          <w:rFonts w:hint="eastAsia"/>
          <w:b/>
          <w:bCs/>
          <w:sz w:val="24"/>
          <w:highlight w:val="none"/>
          <w:u w:val="single"/>
        </w:rPr>
        <w:t>0</w:t>
      </w:r>
      <w:r>
        <w:rPr>
          <w:b/>
          <w:bCs/>
          <w:sz w:val="24"/>
          <w:highlight w:val="none"/>
        </w:rPr>
        <w:t>%。具</w:t>
      </w:r>
      <w:r>
        <w:rPr>
          <w:b/>
          <w:bCs/>
          <w:sz w:val="24"/>
        </w:rPr>
        <w:t>体评分细则如下：</w:t>
      </w:r>
    </w:p>
    <w:p w14:paraId="4A19A989">
      <w:pPr>
        <w:pStyle w:val="2"/>
        <w:rPr>
          <w:rFonts w:hint="default" w:ascii="宋体" w:hAnsi="宋体" w:eastAsia="宋体" w:cs="Times New Roman"/>
          <w:b/>
          <w:bCs/>
          <w:sz w:val="24"/>
          <w:szCs w:val="20"/>
          <w:highlight w:val="none"/>
          <w:lang w:val="en-US" w:eastAsia="zh-CN" w:bidi="ar-SA"/>
        </w:rPr>
      </w:pPr>
      <w:r>
        <w:rPr>
          <w:rFonts w:hint="eastAsia" w:ascii="宋体" w:hAnsi="宋体" w:eastAsia="宋体" w:cs="Times New Roman"/>
          <w:b/>
          <w:bCs/>
          <w:sz w:val="24"/>
          <w:szCs w:val="20"/>
          <w:highlight w:val="none"/>
          <w:lang w:val="en-US" w:eastAsia="zh-CN" w:bidi="ar-SA"/>
        </w:rPr>
        <w:t>第1包：</w:t>
      </w:r>
    </w:p>
    <w:tbl>
      <w:tblPr>
        <w:tblStyle w:val="22"/>
        <w:tblW w:w="54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470"/>
        <w:gridCol w:w="5582"/>
        <w:gridCol w:w="1212"/>
      </w:tblGrid>
      <w:tr w14:paraId="79011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top w:val="single" w:color="auto" w:sz="4" w:space="0"/>
              <w:left w:val="single" w:color="auto" w:sz="4" w:space="0"/>
              <w:bottom w:val="single" w:color="auto" w:sz="4" w:space="0"/>
              <w:right w:val="single" w:color="auto" w:sz="4" w:space="0"/>
            </w:tcBorders>
            <w:noWrap w:val="0"/>
            <w:vAlign w:val="center"/>
          </w:tcPr>
          <w:p w14:paraId="6686CEB0">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类别</w:t>
            </w:r>
          </w:p>
        </w:tc>
        <w:tc>
          <w:tcPr>
            <w:tcW w:w="786" w:type="pct"/>
            <w:tcBorders>
              <w:top w:val="single" w:color="auto" w:sz="4" w:space="0"/>
              <w:left w:val="single" w:color="auto" w:sz="4" w:space="0"/>
              <w:bottom w:val="single" w:color="auto" w:sz="4" w:space="0"/>
              <w:right w:val="single" w:color="auto" w:sz="4" w:space="0"/>
            </w:tcBorders>
            <w:noWrap w:val="0"/>
            <w:vAlign w:val="center"/>
          </w:tcPr>
          <w:p w14:paraId="52AA880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评分内容</w:t>
            </w:r>
          </w:p>
        </w:tc>
        <w:tc>
          <w:tcPr>
            <w:tcW w:w="2986" w:type="pct"/>
            <w:tcBorders>
              <w:top w:val="single" w:color="auto" w:sz="4" w:space="0"/>
              <w:left w:val="single" w:color="auto" w:sz="4" w:space="0"/>
              <w:bottom w:val="single" w:color="auto" w:sz="4" w:space="0"/>
              <w:right w:val="single" w:color="auto" w:sz="4" w:space="0"/>
            </w:tcBorders>
            <w:noWrap w:val="0"/>
            <w:vAlign w:val="center"/>
          </w:tcPr>
          <w:p w14:paraId="7572522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评分标准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2E9FC3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分值范围</w:t>
            </w:r>
          </w:p>
        </w:tc>
      </w:tr>
      <w:tr w14:paraId="55697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restart"/>
            <w:tcBorders>
              <w:top w:val="single" w:color="auto" w:sz="4" w:space="0"/>
              <w:left w:val="single" w:color="auto" w:sz="4" w:space="0"/>
              <w:right w:val="single" w:color="auto" w:sz="4" w:space="0"/>
            </w:tcBorders>
            <w:noWrap w:val="0"/>
            <w:vAlign w:val="center"/>
          </w:tcPr>
          <w:p w14:paraId="708E70D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技术资信分</w:t>
            </w:r>
          </w:p>
          <w:p w14:paraId="374033AF">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w:t>
            </w:r>
            <w:r>
              <w:rPr>
                <w:rFonts w:hint="eastAsia" w:cs="宋体"/>
                <w:b w:val="0"/>
                <w:bCs w:val="0"/>
                <w:color w:val="auto"/>
                <w:sz w:val="24"/>
                <w:szCs w:val="24"/>
                <w:highlight w:val="none"/>
                <w:lang w:val="en-US" w:eastAsia="zh-CN"/>
              </w:rPr>
              <w:t>9</w:t>
            </w:r>
            <w:r>
              <w:rPr>
                <w:rFonts w:hint="eastAsia" w:ascii="宋体" w:hAnsi="宋体" w:eastAsia="宋体" w:cs="宋体"/>
                <w:b w:val="0"/>
                <w:bCs w:val="0"/>
                <w:color w:val="auto"/>
                <w:sz w:val="24"/>
                <w:szCs w:val="24"/>
                <w:highlight w:val="none"/>
                <w:u w:val="single"/>
                <w:lang w:val="en-US" w:eastAsia="zh-CN"/>
              </w:rPr>
              <w:t>0</w:t>
            </w:r>
            <w:r>
              <w:rPr>
                <w:rFonts w:hint="eastAsia" w:ascii="宋体" w:hAnsi="宋体" w:eastAsia="宋体" w:cs="宋体"/>
                <w:b w:val="0"/>
                <w:bCs w:val="0"/>
                <w:color w:val="auto"/>
                <w:sz w:val="24"/>
                <w:szCs w:val="24"/>
                <w:highlight w:val="none"/>
              </w:rPr>
              <w:t>分）</w:t>
            </w:r>
          </w:p>
        </w:tc>
        <w:tc>
          <w:tcPr>
            <w:tcW w:w="786" w:type="pct"/>
            <w:tcBorders>
              <w:top w:val="single" w:color="auto" w:sz="4" w:space="0"/>
              <w:left w:val="single" w:color="auto" w:sz="4" w:space="0"/>
              <w:bottom w:val="single" w:color="auto" w:sz="4" w:space="0"/>
              <w:right w:val="single" w:color="auto" w:sz="4" w:space="0"/>
            </w:tcBorders>
            <w:noWrap w:val="0"/>
            <w:vAlign w:val="center"/>
          </w:tcPr>
          <w:p w14:paraId="647A4176">
            <w:pPr>
              <w:pStyle w:val="53"/>
              <w:spacing w:before="78" w:line="347" w:lineRule="auto"/>
              <w:ind w:right="14" w:rightChars="0"/>
              <w:jc w:val="center"/>
              <w:rPr>
                <w:rFonts w:hint="default"/>
                <w:spacing w:val="-4"/>
                <w:highlight w:val="none"/>
                <w:lang w:val="en-US" w:eastAsia="zh-CN"/>
              </w:rPr>
            </w:pPr>
            <w:r>
              <w:rPr>
                <w:rFonts w:hint="eastAsia" w:ascii="宋体" w:hAnsi="宋体" w:eastAsia="宋体" w:cs="宋体"/>
                <w:highlight w:val="none"/>
                <w:lang w:val="en-US" w:eastAsia="zh-CN"/>
              </w:rPr>
              <w:t>背景分析</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64E6F9E1">
            <w:pPr>
              <w:pStyle w:val="53"/>
              <w:numPr>
                <w:ilvl w:val="0"/>
                <w:numId w:val="0"/>
              </w:numPr>
              <w:spacing w:before="117" w:line="353" w:lineRule="auto"/>
              <w:ind w:left="112" w:leftChars="0" w:right="103" w:rightChars="0"/>
              <w:jc w:val="both"/>
              <w:rPr>
                <w:rFonts w:hint="eastAsia" w:ascii="宋体" w:hAnsi="宋体" w:eastAsia="宋体" w:cs="宋体"/>
                <w:highlight w:val="none"/>
                <w:lang w:eastAsia="zh-CN"/>
              </w:rPr>
            </w:pPr>
            <w:r>
              <w:rPr>
                <w:rFonts w:hint="eastAsia" w:ascii="宋体" w:hAnsi="宋体" w:eastAsia="宋体" w:cs="宋体"/>
                <w:highlight w:val="none"/>
                <w:lang w:eastAsia="zh-CN"/>
              </w:rPr>
              <w:t>针对</w:t>
            </w:r>
            <w:r>
              <w:rPr>
                <w:rFonts w:hint="eastAsia" w:cs="宋体"/>
                <w:highlight w:val="none"/>
                <w:lang w:val="en-US" w:eastAsia="zh-CN"/>
              </w:rPr>
              <w:t>采购</w:t>
            </w:r>
            <w:r>
              <w:rPr>
                <w:rFonts w:hint="eastAsia" w:ascii="宋体" w:hAnsi="宋体" w:eastAsia="宋体" w:cs="宋体"/>
                <w:highlight w:val="none"/>
                <w:lang w:eastAsia="zh-CN"/>
              </w:rPr>
              <w:t>人对项目的背景、工程范围分析的准确性、全面性、完整程度进行评分。</w:t>
            </w:r>
          </w:p>
          <w:p w14:paraId="5A4D810D">
            <w:pPr>
              <w:pStyle w:val="53"/>
              <w:numPr>
                <w:ilvl w:val="0"/>
                <w:numId w:val="2"/>
              </w:numPr>
              <w:spacing w:before="117" w:line="353" w:lineRule="auto"/>
              <w:ind w:left="112" w:leftChars="0" w:right="103" w:rightChars="0"/>
              <w:jc w:val="both"/>
              <w:rPr>
                <w:rFonts w:hint="eastAsia" w:ascii="宋体" w:hAnsi="宋体" w:eastAsia="宋体" w:cs="宋体"/>
                <w:highlight w:val="none"/>
                <w:lang w:eastAsia="zh-CN"/>
              </w:rPr>
            </w:pPr>
            <w:r>
              <w:rPr>
                <w:rFonts w:hint="eastAsia" w:ascii="宋体" w:hAnsi="宋体" w:eastAsia="宋体" w:cs="宋体"/>
                <w:highlight w:val="none"/>
                <w:lang w:eastAsia="zh-CN"/>
              </w:rPr>
              <w:t>内容描述详实，具有可行性的得</w:t>
            </w:r>
            <w:r>
              <w:rPr>
                <w:rFonts w:hint="eastAsia" w:cs="宋体"/>
                <w:highlight w:val="none"/>
                <w:lang w:val="en-US" w:eastAsia="zh-CN"/>
              </w:rPr>
              <w:t>8</w:t>
            </w:r>
            <w:r>
              <w:rPr>
                <w:rFonts w:hint="eastAsia" w:ascii="宋体" w:hAnsi="宋体" w:eastAsia="宋体" w:cs="宋体"/>
                <w:highlight w:val="none"/>
                <w:lang w:eastAsia="zh-CN"/>
              </w:rPr>
              <w:t>分；</w:t>
            </w:r>
          </w:p>
          <w:p w14:paraId="6111D111">
            <w:pPr>
              <w:pStyle w:val="53"/>
              <w:numPr>
                <w:ilvl w:val="0"/>
                <w:numId w:val="2"/>
              </w:numPr>
              <w:spacing w:before="117" w:line="353" w:lineRule="auto"/>
              <w:ind w:left="112" w:leftChars="0" w:right="103" w:rightChars="0"/>
              <w:jc w:val="both"/>
              <w:rPr>
                <w:rFonts w:hint="eastAsia" w:ascii="宋体" w:hAnsi="宋体" w:eastAsia="宋体" w:cs="宋体"/>
                <w:highlight w:val="none"/>
                <w:lang w:eastAsia="zh-CN"/>
              </w:rPr>
            </w:pPr>
            <w:r>
              <w:rPr>
                <w:rFonts w:hint="eastAsia" w:ascii="宋体" w:hAnsi="宋体" w:eastAsia="宋体" w:cs="宋体"/>
                <w:highlight w:val="none"/>
                <w:lang w:eastAsia="zh-CN"/>
              </w:rPr>
              <w:t>内容描述较为详细，比较具有可行性的得</w:t>
            </w:r>
            <w:r>
              <w:rPr>
                <w:rFonts w:hint="eastAsia" w:cs="宋体"/>
                <w:highlight w:val="none"/>
                <w:lang w:val="en-US" w:eastAsia="zh-CN"/>
              </w:rPr>
              <w:t>4</w:t>
            </w:r>
            <w:r>
              <w:rPr>
                <w:rFonts w:hint="eastAsia" w:ascii="宋体" w:hAnsi="宋体" w:eastAsia="宋体" w:cs="宋体"/>
                <w:highlight w:val="none"/>
                <w:lang w:eastAsia="zh-CN"/>
              </w:rPr>
              <w:t>分；</w:t>
            </w:r>
          </w:p>
          <w:p w14:paraId="623076EF">
            <w:pPr>
              <w:pStyle w:val="53"/>
              <w:numPr>
                <w:ilvl w:val="0"/>
                <w:numId w:val="2"/>
              </w:numPr>
              <w:spacing w:before="117" w:line="353" w:lineRule="auto"/>
              <w:ind w:left="112" w:leftChars="0" w:right="103" w:rightChars="0"/>
              <w:jc w:val="both"/>
              <w:rPr>
                <w:rFonts w:hint="eastAsia" w:ascii="宋体" w:hAnsi="宋体" w:eastAsia="宋体" w:cs="宋体"/>
                <w:highlight w:val="none"/>
                <w:lang w:eastAsia="zh-CN"/>
              </w:rPr>
            </w:pPr>
            <w:r>
              <w:rPr>
                <w:rFonts w:hint="eastAsia" w:ascii="宋体" w:hAnsi="宋体" w:eastAsia="宋体" w:cs="宋体"/>
                <w:highlight w:val="none"/>
                <w:lang w:eastAsia="zh-CN"/>
              </w:rPr>
              <w:t>内容模糊，不具有可行性的得</w:t>
            </w:r>
            <w:r>
              <w:rPr>
                <w:rFonts w:hint="eastAsia" w:cs="宋体"/>
                <w:highlight w:val="none"/>
                <w:lang w:val="en-US" w:eastAsia="zh-CN"/>
              </w:rPr>
              <w:t>1</w:t>
            </w:r>
            <w:r>
              <w:rPr>
                <w:rFonts w:hint="eastAsia" w:ascii="宋体" w:hAnsi="宋体" w:eastAsia="宋体" w:cs="宋体"/>
                <w:highlight w:val="none"/>
                <w:lang w:eastAsia="zh-CN"/>
              </w:rPr>
              <w:t>分。</w:t>
            </w:r>
          </w:p>
          <w:p w14:paraId="0E90D1A4">
            <w:pPr>
              <w:pStyle w:val="53"/>
              <w:numPr>
                <w:ilvl w:val="0"/>
                <w:numId w:val="2"/>
              </w:numPr>
              <w:spacing w:before="117" w:line="353" w:lineRule="auto"/>
              <w:ind w:left="112" w:leftChars="0" w:right="103" w:rightChars="0"/>
              <w:jc w:val="both"/>
              <w:rPr>
                <w:rFonts w:hint="eastAsia" w:ascii="宋体" w:hAnsi="宋体" w:eastAsia="宋体" w:cs="宋体"/>
                <w:highlight w:val="none"/>
                <w:lang w:eastAsia="zh-CN"/>
              </w:rPr>
            </w:pPr>
            <w:r>
              <w:rPr>
                <w:rFonts w:hint="eastAsia" w:ascii="宋体" w:hAnsi="宋体" w:eastAsia="宋体" w:cs="宋体"/>
                <w:highlight w:val="none"/>
                <w:lang w:eastAsia="zh-CN"/>
              </w:rPr>
              <w:t>未提供不得分。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304A9896">
            <w:pPr>
              <w:pStyle w:val="53"/>
              <w:spacing w:before="78" w:line="221" w:lineRule="auto"/>
              <w:ind w:left="11" w:leftChars="0" w:right="-4" w:rightChars="0" w:hanging="11" w:hangingChars="5"/>
              <w:jc w:val="center"/>
              <w:rPr>
                <w:rFonts w:hint="default" w:eastAsia="宋体"/>
                <w:spacing w:val="-3"/>
                <w:highlight w:val="none"/>
                <w:lang w:val="en-US" w:eastAsia="zh-CN"/>
              </w:rPr>
            </w:pPr>
            <w:r>
              <w:rPr>
                <w:rFonts w:hint="eastAsia"/>
                <w:spacing w:val="-3"/>
                <w:highlight w:val="none"/>
                <w:lang w:val="en-US" w:eastAsia="zh-CN"/>
              </w:rPr>
              <w:t>0-8分</w:t>
            </w:r>
          </w:p>
        </w:tc>
      </w:tr>
      <w:tr w14:paraId="000F2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6DA42CFA">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05C2694D">
            <w:pPr>
              <w:pStyle w:val="53"/>
              <w:spacing w:before="78" w:line="347" w:lineRule="auto"/>
              <w:ind w:right="14" w:rightChars="0"/>
              <w:jc w:val="center"/>
              <w:rPr>
                <w:rFonts w:hint="eastAsia" w:ascii="宋体" w:hAnsi="宋体" w:eastAsia="宋体" w:cs="宋体"/>
                <w:b w:val="0"/>
                <w:bCs w:val="0"/>
                <w:color w:val="auto"/>
                <w:sz w:val="24"/>
                <w:szCs w:val="24"/>
                <w:highlight w:val="none"/>
              </w:rPr>
            </w:pPr>
            <w:r>
              <w:rPr>
                <w:rFonts w:hint="eastAsia"/>
                <w:spacing w:val="-4"/>
                <w:highlight w:val="none"/>
                <w:lang w:val="en-US" w:eastAsia="zh-CN"/>
              </w:rPr>
              <w:t>总体</w:t>
            </w:r>
            <w:r>
              <w:rPr>
                <w:spacing w:val="-4"/>
                <w:highlight w:val="none"/>
              </w:rPr>
              <w:t>服务</w:t>
            </w:r>
            <w:r>
              <w:rPr>
                <w:spacing w:val="-6"/>
                <w:highlight w:val="none"/>
              </w:rPr>
              <w:t>方案</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2173D24F">
            <w:pPr>
              <w:pStyle w:val="53"/>
              <w:spacing w:before="117" w:line="353" w:lineRule="auto"/>
              <w:ind w:left="112" w:right="103"/>
              <w:jc w:val="both"/>
              <w:rPr>
                <w:rFonts w:hint="eastAsia" w:ascii="宋体" w:hAnsi="宋体" w:eastAsia="宋体" w:cs="宋体"/>
                <w:highlight w:val="none"/>
                <w:lang w:eastAsia="zh-CN"/>
              </w:rPr>
            </w:pPr>
            <w:r>
              <w:rPr>
                <w:rFonts w:hint="eastAsia" w:ascii="宋体" w:hAnsi="宋体" w:eastAsia="宋体" w:cs="宋体"/>
                <w:highlight w:val="none"/>
                <w:lang w:eastAsia="zh-CN"/>
              </w:rPr>
              <w:t>磋商小组根据磋商文件要求及供应商提供的总体服务方案，进行综合评分：</w:t>
            </w:r>
          </w:p>
          <w:p w14:paraId="66A4C7F4">
            <w:pPr>
              <w:pStyle w:val="53"/>
              <w:numPr>
                <w:ilvl w:val="0"/>
                <w:numId w:val="3"/>
              </w:numPr>
              <w:spacing w:before="117" w:line="353" w:lineRule="auto"/>
              <w:ind w:left="112" w:right="103"/>
              <w:jc w:val="both"/>
              <w:rPr>
                <w:rFonts w:hint="eastAsia" w:ascii="宋体" w:hAnsi="宋体" w:eastAsia="宋体" w:cs="宋体"/>
                <w:highlight w:val="none"/>
                <w:lang w:eastAsia="zh-CN"/>
              </w:rPr>
            </w:pPr>
            <w:r>
              <w:rPr>
                <w:rFonts w:hint="eastAsia" w:ascii="宋体" w:hAnsi="宋体" w:eastAsia="宋体" w:cs="宋体"/>
                <w:highlight w:val="none"/>
                <w:lang w:eastAsia="zh-CN"/>
              </w:rPr>
              <w:t>方案优于本项目采购需求，完整详细、可行性、实用性、针对性强，得</w:t>
            </w:r>
            <w:r>
              <w:rPr>
                <w:rFonts w:hint="eastAsia" w:cs="宋体"/>
                <w:highlight w:val="none"/>
                <w:lang w:val="en-US" w:eastAsia="zh-CN"/>
              </w:rPr>
              <w:t>8</w:t>
            </w:r>
            <w:r>
              <w:rPr>
                <w:rFonts w:hint="eastAsia" w:ascii="宋体" w:hAnsi="宋体" w:eastAsia="宋体" w:cs="宋体"/>
                <w:highlight w:val="none"/>
                <w:lang w:eastAsia="zh-CN"/>
              </w:rPr>
              <w:t>分；</w:t>
            </w:r>
          </w:p>
          <w:p w14:paraId="2541A1F6">
            <w:pPr>
              <w:pStyle w:val="53"/>
              <w:numPr>
                <w:ilvl w:val="0"/>
                <w:numId w:val="3"/>
              </w:numPr>
              <w:spacing w:before="117" w:line="353" w:lineRule="auto"/>
              <w:ind w:left="112" w:leftChars="0" w:right="103" w:rightChars="0" w:firstLine="0" w:firstLineChars="0"/>
              <w:jc w:val="both"/>
              <w:rPr>
                <w:rFonts w:hint="eastAsia" w:ascii="宋体" w:hAnsi="宋体" w:eastAsia="宋体" w:cs="宋体"/>
                <w:highlight w:val="none"/>
                <w:lang w:eastAsia="zh-CN"/>
              </w:rPr>
            </w:pPr>
            <w:r>
              <w:rPr>
                <w:rFonts w:hint="eastAsia" w:ascii="宋体" w:hAnsi="宋体" w:eastAsia="宋体" w:cs="宋体"/>
                <w:highlight w:val="none"/>
                <w:lang w:eastAsia="zh-CN"/>
              </w:rPr>
              <w:t>方案适合本项目采购需求，完整详细、具有可行性、实用性和针对性，得</w:t>
            </w:r>
            <w:r>
              <w:rPr>
                <w:rFonts w:hint="eastAsia" w:cs="宋体"/>
                <w:highlight w:val="none"/>
                <w:lang w:val="en-US" w:eastAsia="zh-CN"/>
              </w:rPr>
              <w:t>4</w:t>
            </w:r>
            <w:r>
              <w:rPr>
                <w:rFonts w:hint="eastAsia" w:ascii="宋体" w:hAnsi="宋体" w:eastAsia="宋体" w:cs="宋体"/>
                <w:highlight w:val="none"/>
                <w:lang w:eastAsia="zh-CN"/>
              </w:rPr>
              <w:t>分；</w:t>
            </w:r>
          </w:p>
          <w:p w14:paraId="2C6A6520">
            <w:pPr>
              <w:pStyle w:val="53"/>
              <w:numPr>
                <w:ilvl w:val="0"/>
                <w:numId w:val="3"/>
              </w:numPr>
              <w:spacing w:before="117" w:line="353" w:lineRule="auto"/>
              <w:ind w:left="112" w:leftChars="0" w:right="103" w:rightChars="0" w:firstLine="0" w:firstLineChars="0"/>
              <w:jc w:val="both"/>
              <w:rPr>
                <w:rFonts w:hint="eastAsia" w:ascii="宋体" w:hAnsi="宋体" w:eastAsia="宋体" w:cs="宋体"/>
                <w:highlight w:val="none"/>
                <w:lang w:eastAsia="zh-CN"/>
              </w:rPr>
            </w:pPr>
            <w:r>
              <w:rPr>
                <w:rFonts w:hint="eastAsia" w:ascii="宋体" w:hAnsi="宋体" w:eastAsia="宋体" w:cs="宋体"/>
                <w:highlight w:val="none"/>
                <w:lang w:eastAsia="zh-CN"/>
              </w:rPr>
              <w:t>方案基本适合本项目采购需求，可行性，实用性和针对性有待改善，得1分；</w:t>
            </w:r>
          </w:p>
          <w:p w14:paraId="74E20821">
            <w:pPr>
              <w:pStyle w:val="53"/>
              <w:numPr>
                <w:ilvl w:val="0"/>
                <w:numId w:val="0"/>
              </w:numPr>
              <w:spacing w:before="117" w:line="353" w:lineRule="auto"/>
              <w:ind w:left="112" w:leftChars="0" w:right="103" w:rightChars="0"/>
              <w:jc w:val="both"/>
              <w:rPr>
                <w:rFonts w:hint="eastAsia" w:ascii="宋体" w:hAnsi="宋体" w:eastAsia="宋体" w:cs="宋体"/>
                <w:b w:val="0"/>
                <w:bCs w:val="0"/>
                <w:color w:val="auto"/>
                <w:sz w:val="24"/>
                <w:szCs w:val="24"/>
                <w:highlight w:val="none"/>
              </w:rPr>
            </w:pPr>
            <w:r>
              <w:rPr>
                <w:rFonts w:hint="eastAsia" w:ascii="宋体" w:hAnsi="宋体" w:eastAsia="宋体" w:cs="宋体"/>
                <w:highlight w:val="none"/>
                <w:lang w:eastAsia="zh-CN"/>
              </w:rPr>
              <w:t>（4）方案不可行或未提供的不得分。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12306BC5">
            <w:pPr>
              <w:pStyle w:val="53"/>
              <w:spacing w:before="78" w:line="221" w:lineRule="auto"/>
              <w:ind w:left="11" w:leftChars="0" w:right="-4" w:rightChars="0" w:hanging="11" w:hangingChars="5"/>
              <w:jc w:val="center"/>
              <w:rPr>
                <w:rFonts w:hint="eastAsia" w:ascii="宋体" w:hAnsi="宋体" w:eastAsia="宋体" w:cs="宋体"/>
                <w:b w:val="0"/>
                <w:bCs w:val="0"/>
                <w:color w:val="auto"/>
                <w:sz w:val="24"/>
                <w:szCs w:val="24"/>
                <w:highlight w:val="none"/>
              </w:rPr>
            </w:pPr>
            <w:r>
              <w:rPr>
                <w:spacing w:val="-3"/>
                <w:highlight w:val="none"/>
              </w:rPr>
              <w:t>0-</w:t>
            </w:r>
            <w:r>
              <w:rPr>
                <w:rFonts w:hint="eastAsia"/>
                <w:spacing w:val="-3"/>
                <w:highlight w:val="none"/>
                <w:lang w:val="en-US" w:eastAsia="zh-CN"/>
              </w:rPr>
              <w:t>8</w:t>
            </w:r>
            <w:r>
              <w:rPr>
                <w:spacing w:val="-46"/>
                <w:highlight w:val="none"/>
              </w:rPr>
              <w:t xml:space="preserve"> </w:t>
            </w:r>
            <w:r>
              <w:rPr>
                <w:spacing w:val="-3"/>
                <w:highlight w:val="none"/>
              </w:rPr>
              <w:t>分</w:t>
            </w:r>
          </w:p>
        </w:tc>
      </w:tr>
      <w:tr w14:paraId="3FF96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13946E89">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64AB1103">
            <w:pPr>
              <w:pStyle w:val="53"/>
              <w:spacing w:before="78" w:line="347" w:lineRule="auto"/>
              <w:ind w:left="17" w:leftChars="0" w:right="54" w:rightChars="0" w:hanging="17" w:firstLineChars="0"/>
              <w:jc w:val="center"/>
              <w:rPr>
                <w:rFonts w:hint="eastAsia" w:ascii="宋体" w:hAnsi="宋体" w:eastAsia="宋体" w:cs="宋体"/>
                <w:b w:val="0"/>
                <w:bCs w:val="0"/>
                <w:color w:val="auto"/>
                <w:sz w:val="24"/>
                <w:szCs w:val="24"/>
                <w:highlight w:val="none"/>
              </w:rPr>
            </w:pPr>
            <w:r>
              <w:rPr>
                <w:spacing w:val="-10"/>
                <w:highlight w:val="none"/>
              </w:rPr>
              <w:t>内部管理</w:t>
            </w:r>
            <w:r>
              <w:rPr>
                <w:spacing w:val="-6"/>
                <w:highlight w:val="none"/>
              </w:rPr>
              <w:t>制度</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49B32F89">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由磋商小组对供应商提供的保密管理制度、档案管理制度等内部管控制度规范性进行综合评分：</w:t>
            </w:r>
          </w:p>
          <w:p w14:paraId="45D011D9">
            <w:pPr>
              <w:pStyle w:val="53"/>
              <w:spacing w:before="117" w:line="353" w:lineRule="auto"/>
              <w:ind w:left="112" w:right="103"/>
              <w:jc w:val="both"/>
              <w:rPr>
                <w:rFonts w:ascii="宋体" w:hAnsi="宋体" w:eastAsia="宋体" w:cs="宋体"/>
                <w:b/>
                <w:bCs/>
                <w:highlight w:val="none"/>
                <w:lang w:eastAsia="zh-CN"/>
              </w:rPr>
            </w:pPr>
            <w:r>
              <w:rPr>
                <w:rFonts w:ascii="宋体" w:hAnsi="宋体" w:eastAsia="宋体" w:cs="宋体"/>
                <w:b/>
                <w:bCs/>
                <w:highlight w:val="none"/>
                <w:lang w:eastAsia="zh-CN"/>
              </w:rPr>
              <w:t>1.设计质量控制制度</w:t>
            </w:r>
          </w:p>
          <w:p w14:paraId="0E8D2792">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设计质量控制健全规范的，得</w:t>
            </w:r>
            <w:r>
              <w:rPr>
                <w:rFonts w:hint="eastAsia" w:cs="宋体"/>
                <w:highlight w:val="none"/>
                <w:lang w:val="en-US" w:eastAsia="zh-CN"/>
              </w:rPr>
              <w:t>6</w:t>
            </w:r>
            <w:r>
              <w:rPr>
                <w:rFonts w:ascii="宋体" w:hAnsi="宋体" w:eastAsia="宋体" w:cs="宋体"/>
                <w:highlight w:val="none"/>
                <w:lang w:eastAsia="zh-CN"/>
              </w:rPr>
              <w:t>分；</w:t>
            </w:r>
          </w:p>
          <w:p w14:paraId="48C0C853">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设计质量控制制度较为健全规范得</w:t>
            </w:r>
            <w:r>
              <w:rPr>
                <w:rFonts w:hint="eastAsia" w:cs="宋体"/>
                <w:highlight w:val="none"/>
                <w:lang w:val="en-US" w:eastAsia="zh-CN"/>
              </w:rPr>
              <w:t>3</w:t>
            </w:r>
            <w:r>
              <w:rPr>
                <w:rFonts w:ascii="宋体" w:hAnsi="宋体" w:eastAsia="宋体" w:cs="宋体"/>
                <w:highlight w:val="none"/>
                <w:lang w:eastAsia="zh-CN"/>
              </w:rPr>
              <w:t>分；</w:t>
            </w:r>
          </w:p>
          <w:p w14:paraId="16724E84">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设计质量控制制度基本健全的，得1分。</w:t>
            </w:r>
          </w:p>
          <w:p w14:paraId="328C1FEE">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未提供不得分。</w:t>
            </w:r>
          </w:p>
          <w:p w14:paraId="698BA662">
            <w:pPr>
              <w:pStyle w:val="53"/>
              <w:spacing w:before="117" w:line="353" w:lineRule="auto"/>
              <w:ind w:left="112" w:right="103"/>
              <w:jc w:val="both"/>
              <w:rPr>
                <w:rFonts w:ascii="宋体" w:hAnsi="宋体" w:eastAsia="宋体" w:cs="宋体"/>
                <w:b/>
                <w:bCs/>
                <w:highlight w:val="none"/>
                <w:lang w:eastAsia="zh-CN"/>
              </w:rPr>
            </w:pPr>
            <w:r>
              <w:rPr>
                <w:rFonts w:hint="eastAsia" w:cs="宋体"/>
                <w:b/>
                <w:bCs/>
                <w:highlight w:val="none"/>
                <w:lang w:val="en-US" w:eastAsia="zh-CN"/>
              </w:rPr>
              <w:t>2</w:t>
            </w:r>
            <w:r>
              <w:rPr>
                <w:rFonts w:ascii="宋体" w:hAnsi="宋体" w:eastAsia="宋体" w:cs="宋体"/>
                <w:b/>
                <w:bCs/>
                <w:highlight w:val="none"/>
                <w:lang w:eastAsia="zh-CN"/>
              </w:rPr>
              <w:t>.保密管理制度</w:t>
            </w:r>
          </w:p>
          <w:p w14:paraId="5A079F79">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保密管理制度健全规范的，得</w:t>
            </w:r>
            <w:r>
              <w:rPr>
                <w:rFonts w:hint="eastAsia" w:cs="宋体"/>
                <w:highlight w:val="none"/>
                <w:lang w:val="en-US" w:eastAsia="zh-CN"/>
              </w:rPr>
              <w:t>6</w:t>
            </w:r>
            <w:r>
              <w:rPr>
                <w:rFonts w:ascii="宋体" w:hAnsi="宋体" w:eastAsia="宋体" w:cs="宋体"/>
                <w:highlight w:val="none"/>
                <w:lang w:eastAsia="zh-CN"/>
              </w:rPr>
              <w:t>分；</w:t>
            </w:r>
          </w:p>
          <w:p w14:paraId="10C43834">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保密管理制度较为健全规范的，得</w:t>
            </w:r>
            <w:r>
              <w:rPr>
                <w:rFonts w:hint="eastAsia" w:cs="宋体"/>
                <w:highlight w:val="none"/>
                <w:lang w:val="en-US" w:eastAsia="zh-CN"/>
              </w:rPr>
              <w:t>3</w:t>
            </w:r>
            <w:r>
              <w:rPr>
                <w:rFonts w:ascii="宋体" w:hAnsi="宋体" w:eastAsia="宋体" w:cs="宋体"/>
                <w:highlight w:val="none"/>
                <w:lang w:eastAsia="zh-CN"/>
              </w:rPr>
              <w:t>分；</w:t>
            </w:r>
          </w:p>
          <w:p w14:paraId="7551C82A">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保密管理制度基本健全的，得1分。</w:t>
            </w:r>
          </w:p>
          <w:p w14:paraId="0ABD02FE">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未提供不得分。</w:t>
            </w:r>
          </w:p>
          <w:p w14:paraId="77C370BC">
            <w:pPr>
              <w:pStyle w:val="53"/>
              <w:spacing w:before="117" w:line="353" w:lineRule="auto"/>
              <w:ind w:left="112" w:right="103"/>
              <w:jc w:val="both"/>
              <w:rPr>
                <w:rFonts w:ascii="宋体" w:hAnsi="宋体" w:eastAsia="宋体" w:cs="宋体"/>
                <w:b/>
                <w:bCs/>
                <w:highlight w:val="none"/>
                <w:lang w:eastAsia="zh-CN"/>
              </w:rPr>
            </w:pPr>
            <w:r>
              <w:rPr>
                <w:rFonts w:hint="eastAsia" w:cs="宋体"/>
                <w:b/>
                <w:bCs/>
                <w:highlight w:val="none"/>
                <w:lang w:val="en-US" w:eastAsia="zh-CN"/>
              </w:rPr>
              <w:t>3</w:t>
            </w:r>
            <w:r>
              <w:rPr>
                <w:rFonts w:ascii="宋体" w:hAnsi="宋体" w:eastAsia="宋体" w:cs="宋体"/>
                <w:b/>
                <w:bCs/>
                <w:highlight w:val="none"/>
                <w:lang w:eastAsia="zh-CN"/>
              </w:rPr>
              <w:t>.对设计成果的内部复核审查制度：</w:t>
            </w:r>
          </w:p>
          <w:p w14:paraId="1251AC90">
            <w:pPr>
              <w:pStyle w:val="53"/>
              <w:spacing w:before="117" w:line="353" w:lineRule="auto"/>
              <w:ind w:left="112" w:right="103"/>
              <w:jc w:val="both"/>
              <w:rPr>
                <w:rFonts w:hint="eastAsia" w:ascii="宋体" w:hAnsi="宋体" w:eastAsia="宋体" w:cs="宋体"/>
                <w:b w:val="0"/>
                <w:bCs w:val="0"/>
                <w:color w:val="auto"/>
                <w:kern w:val="0"/>
                <w:sz w:val="24"/>
                <w:szCs w:val="24"/>
                <w:highlight w:val="none"/>
                <w:lang w:val="en-US" w:eastAsia="zh-CN" w:bidi="ar"/>
              </w:rPr>
            </w:pPr>
            <w:r>
              <w:rPr>
                <w:rFonts w:ascii="宋体" w:hAnsi="宋体" w:eastAsia="宋体" w:cs="宋体"/>
                <w:highlight w:val="none"/>
                <w:lang w:eastAsia="zh-CN"/>
              </w:rPr>
              <w:t>复核审查制度健全规范且有具体要求，得</w:t>
            </w:r>
            <w:r>
              <w:rPr>
                <w:rFonts w:hint="eastAsia" w:cs="宋体"/>
                <w:highlight w:val="none"/>
                <w:lang w:val="en-US" w:eastAsia="zh-CN"/>
              </w:rPr>
              <w:t>6</w:t>
            </w:r>
            <w:r>
              <w:rPr>
                <w:rFonts w:ascii="宋体" w:hAnsi="宋体" w:eastAsia="宋体" w:cs="宋体"/>
                <w:highlight w:val="none"/>
                <w:lang w:eastAsia="zh-CN"/>
              </w:rPr>
              <w:t>分。复核审查制度健全但要求不是很完善，得</w:t>
            </w:r>
            <w:r>
              <w:rPr>
                <w:rFonts w:hint="eastAsia" w:cs="宋体"/>
                <w:highlight w:val="none"/>
                <w:lang w:val="en-US" w:eastAsia="zh-CN"/>
              </w:rPr>
              <w:t>3</w:t>
            </w:r>
            <w:r>
              <w:rPr>
                <w:rFonts w:ascii="宋体" w:hAnsi="宋体" w:eastAsia="宋体" w:cs="宋体"/>
                <w:highlight w:val="none"/>
                <w:lang w:eastAsia="zh-CN"/>
              </w:rPr>
              <w:t>分；复核审查制度基本健全规范但要求不清晰，得1分。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0B0685A5">
            <w:pPr>
              <w:pStyle w:val="53"/>
              <w:spacing w:before="78" w:line="221" w:lineRule="auto"/>
              <w:ind w:left="0" w:leftChars="0" w:right="-4" w:rightChars="0" w:firstLine="0" w:firstLineChars="0"/>
              <w:jc w:val="center"/>
              <w:rPr>
                <w:rFonts w:hint="eastAsia" w:ascii="宋体" w:hAnsi="宋体" w:eastAsia="宋体" w:cs="宋体"/>
                <w:b w:val="0"/>
                <w:bCs w:val="0"/>
                <w:color w:val="auto"/>
                <w:sz w:val="24"/>
                <w:szCs w:val="24"/>
                <w:highlight w:val="none"/>
              </w:rPr>
            </w:pPr>
            <w:r>
              <w:rPr>
                <w:spacing w:val="-3"/>
                <w:highlight w:val="none"/>
              </w:rPr>
              <w:t>0-</w:t>
            </w:r>
            <w:r>
              <w:rPr>
                <w:rFonts w:hint="eastAsia"/>
                <w:spacing w:val="-3"/>
                <w:highlight w:val="none"/>
                <w:lang w:val="en-US" w:eastAsia="zh-CN"/>
              </w:rPr>
              <w:t>18</w:t>
            </w:r>
            <w:r>
              <w:rPr>
                <w:spacing w:val="-3"/>
                <w:highlight w:val="none"/>
              </w:rPr>
              <w:t>分</w:t>
            </w:r>
          </w:p>
        </w:tc>
      </w:tr>
      <w:tr w14:paraId="5E188A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6CE9AAF8">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37E5E0EE">
            <w:pPr>
              <w:pStyle w:val="53"/>
              <w:spacing w:before="78" w:line="347" w:lineRule="auto"/>
              <w:ind w:left="0" w:leftChars="0" w:right="54" w:rightChars="0" w:firstLine="0" w:firstLineChars="0"/>
              <w:jc w:val="center"/>
              <w:rPr>
                <w:rFonts w:hint="eastAsia" w:ascii="宋体" w:hAnsi="宋体" w:eastAsia="宋体" w:cs="宋体"/>
                <w:b w:val="0"/>
                <w:bCs w:val="0"/>
                <w:color w:val="auto"/>
                <w:sz w:val="24"/>
                <w:szCs w:val="24"/>
                <w:highlight w:val="none"/>
              </w:rPr>
            </w:pPr>
            <w:r>
              <w:rPr>
                <w:spacing w:val="-4"/>
                <w:highlight w:val="none"/>
              </w:rPr>
              <w:t>履约服务</w:t>
            </w:r>
            <w:r>
              <w:rPr>
                <w:spacing w:val="-5"/>
                <w:highlight w:val="none"/>
              </w:rPr>
              <w:t>承诺</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6F9D9E91">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由磋商小组根据投标供应商提供的履约服务承诺进行综合评审：</w:t>
            </w:r>
          </w:p>
          <w:p w14:paraId="4306BC80">
            <w:pPr>
              <w:pStyle w:val="53"/>
              <w:spacing w:before="117" w:line="353" w:lineRule="auto"/>
              <w:ind w:left="112" w:right="103"/>
              <w:jc w:val="both"/>
              <w:rPr>
                <w:rFonts w:ascii="宋体" w:hAnsi="宋体" w:eastAsia="宋体" w:cs="宋体"/>
                <w:b w:val="0"/>
                <w:bCs w:val="0"/>
                <w:highlight w:val="none"/>
                <w:lang w:eastAsia="zh-CN"/>
              </w:rPr>
            </w:pPr>
            <w:r>
              <w:rPr>
                <w:rFonts w:ascii="宋体" w:hAnsi="宋体" w:eastAsia="宋体" w:cs="宋体"/>
                <w:b w:val="0"/>
                <w:bCs w:val="0"/>
                <w:highlight w:val="none"/>
                <w:lang w:eastAsia="zh-CN"/>
              </w:rPr>
              <w:t>采购人下发设计任务后至出具设计成果文件的重要环节和关键环节的安排承诺：</w:t>
            </w:r>
          </w:p>
          <w:p w14:paraId="457B64A2">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服务承诺内容详尽准确，保障措施具体，表达清晰的，得</w:t>
            </w:r>
            <w:r>
              <w:rPr>
                <w:rFonts w:hint="eastAsia" w:cs="宋体"/>
                <w:highlight w:val="none"/>
                <w:lang w:val="en-US" w:eastAsia="zh-CN"/>
              </w:rPr>
              <w:t>9</w:t>
            </w:r>
            <w:r>
              <w:rPr>
                <w:rFonts w:ascii="宋体" w:hAnsi="宋体" w:eastAsia="宋体" w:cs="宋体"/>
                <w:highlight w:val="none"/>
                <w:lang w:eastAsia="zh-CN"/>
              </w:rPr>
              <w:t>分；</w:t>
            </w:r>
          </w:p>
          <w:p w14:paraId="16F91FB0">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服务承诺内容较详尽准确，保障措施较具体，表达较清晰的，得</w:t>
            </w:r>
            <w:r>
              <w:rPr>
                <w:rFonts w:hint="eastAsia" w:cs="宋体"/>
                <w:highlight w:val="none"/>
                <w:lang w:val="en-US" w:eastAsia="zh-CN"/>
              </w:rPr>
              <w:t>5</w:t>
            </w:r>
            <w:r>
              <w:rPr>
                <w:rFonts w:ascii="宋体" w:hAnsi="宋体" w:eastAsia="宋体" w:cs="宋体"/>
                <w:highlight w:val="none"/>
                <w:lang w:eastAsia="zh-CN"/>
              </w:rPr>
              <w:t>分；</w:t>
            </w:r>
          </w:p>
          <w:p w14:paraId="5533D069">
            <w:pPr>
              <w:pStyle w:val="53"/>
              <w:spacing w:before="117" w:line="353" w:lineRule="auto"/>
              <w:ind w:left="112" w:right="103"/>
              <w:jc w:val="both"/>
              <w:rPr>
                <w:rFonts w:ascii="宋体" w:hAnsi="宋体" w:eastAsia="宋体" w:cs="宋体"/>
                <w:highlight w:val="none"/>
                <w:lang w:eastAsia="zh-CN"/>
              </w:rPr>
            </w:pPr>
            <w:r>
              <w:rPr>
                <w:rFonts w:ascii="宋体" w:hAnsi="宋体" w:eastAsia="宋体" w:cs="宋体"/>
                <w:highlight w:val="none"/>
                <w:lang w:eastAsia="zh-CN"/>
              </w:rPr>
              <w:t>服务承诺内容基本完备，内容基本详细，保障措施基本具体，表达基本清晰的，得</w:t>
            </w:r>
            <w:r>
              <w:rPr>
                <w:rFonts w:hint="eastAsia" w:cs="宋体"/>
                <w:highlight w:val="none"/>
                <w:lang w:val="en-US" w:eastAsia="zh-CN"/>
              </w:rPr>
              <w:t>1</w:t>
            </w:r>
            <w:r>
              <w:rPr>
                <w:rFonts w:ascii="宋体" w:hAnsi="宋体" w:eastAsia="宋体" w:cs="宋体"/>
                <w:highlight w:val="none"/>
                <w:lang w:eastAsia="zh-CN"/>
              </w:rPr>
              <w:t>分；</w:t>
            </w:r>
          </w:p>
          <w:p w14:paraId="07118008">
            <w:pPr>
              <w:pStyle w:val="53"/>
              <w:spacing w:before="117" w:line="353" w:lineRule="auto"/>
              <w:ind w:left="112" w:right="103"/>
              <w:jc w:val="both"/>
              <w:rPr>
                <w:rFonts w:hint="eastAsia" w:ascii="宋体" w:hAnsi="宋体" w:eastAsia="宋体" w:cs="宋体"/>
                <w:highlight w:val="none"/>
                <w:lang w:eastAsia="zh-CN"/>
              </w:rPr>
            </w:pPr>
            <w:r>
              <w:rPr>
                <w:rFonts w:ascii="宋体" w:hAnsi="宋体" w:eastAsia="宋体" w:cs="宋体"/>
                <w:highlight w:val="none"/>
                <w:lang w:eastAsia="zh-CN"/>
              </w:rPr>
              <w:t>未提供不得分。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6BC097E4">
            <w:pPr>
              <w:pStyle w:val="53"/>
              <w:spacing w:before="78" w:line="221" w:lineRule="auto"/>
              <w:jc w:val="center"/>
              <w:rPr>
                <w:rFonts w:hint="eastAsia" w:ascii="宋体" w:hAnsi="宋体" w:eastAsia="宋体" w:cs="宋体"/>
                <w:b w:val="0"/>
                <w:bCs w:val="0"/>
                <w:color w:val="auto"/>
                <w:sz w:val="24"/>
                <w:szCs w:val="24"/>
                <w:highlight w:val="none"/>
              </w:rPr>
            </w:pPr>
            <w:r>
              <w:rPr>
                <w:spacing w:val="-3"/>
                <w:highlight w:val="none"/>
                <w:u w:val="none"/>
              </w:rPr>
              <w:t>0-</w:t>
            </w:r>
            <w:r>
              <w:rPr>
                <w:rFonts w:hint="eastAsia" w:eastAsiaTheme="minorEastAsia"/>
                <w:spacing w:val="-3"/>
                <w:highlight w:val="none"/>
                <w:u w:val="none"/>
                <w:lang w:val="en-US" w:eastAsia="zh-CN"/>
              </w:rPr>
              <w:t>9</w:t>
            </w:r>
            <w:r>
              <w:rPr>
                <w:spacing w:val="-3"/>
                <w:highlight w:val="none"/>
              </w:rPr>
              <w:t>分</w:t>
            </w:r>
          </w:p>
        </w:tc>
      </w:tr>
      <w:tr w14:paraId="6A0B8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577" w:type="pct"/>
            <w:vMerge w:val="continue"/>
            <w:tcBorders>
              <w:left w:val="single" w:color="auto" w:sz="4" w:space="0"/>
              <w:right w:val="single" w:color="auto" w:sz="4" w:space="0"/>
            </w:tcBorders>
            <w:noWrap w:val="0"/>
            <w:vAlign w:val="center"/>
          </w:tcPr>
          <w:p w14:paraId="62E3BF8C">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3C12833A">
            <w:pPr>
              <w:pStyle w:val="53"/>
              <w:spacing w:before="78" w:line="347" w:lineRule="auto"/>
              <w:ind w:left="0" w:leftChars="0" w:right="54" w:rightChars="0" w:firstLine="0" w:firstLineChars="0"/>
              <w:jc w:val="center"/>
              <w:rPr>
                <w:spacing w:val="-4"/>
                <w:highlight w:val="none"/>
              </w:rPr>
            </w:pPr>
            <w:r>
              <w:rPr>
                <w:spacing w:val="-3"/>
                <w:highlight w:val="none"/>
              </w:rPr>
              <w:t>人员配备</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0BF1D072">
            <w:pPr>
              <w:pStyle w:val="53"/>
              <w:numPr>
                <w:ilvl w:val="-1"/>
                <w:numId w:val="0"/>
              </w:numPr>
              <w:spacing w:before="117" w:line="353" w:lineRule="auto"/>
              <w:ind w:left="112" w:leftChars="0" w:right="103" w:rightChars="0" w:firstLine="0" w:firstLineChars="0"/>
              <w:jc w:val="both"/>
              <w:rPr>
                <w:rFonts w:hint="eastAsia" w:ascii="宋体" w:hAnsi="宋体" w:eastAsia="宋体" w:cs="宋体"/>
                <w:b/>
                <w:bCs/>
                <w:highlight w:val="none"/>
                <w:lang w:eastAsia="zh-CN"/>
              </w:rPr>
            </w:pPr>
            <w:r>
              <w:rPr>
                <w:rFonts w:hint="eastAsia" w:ascii="宋体" w:hAnsi="宋体" w:eastAsia="宋体" w:cs="宋体"/>
                <w:b/>
                <w:bCs/>
                <w:highlight w:val="none"/>
                <w:lang w:eastAsia="zh-CN"/>
              </w:rPr>
              <w:t>其他人员（除项目负责人外，满分</w:t>
            </w:r>
            <w:r>
              <w:rPr>
                <w:rFonts w:hint="eastAsia" w:cs="宋体"/>
                <w:b/>
                <w:bCs/>
                <w:highlight w:val="none"/>
                <w:lang w:val="en-US" w:eastAsia="zh-CN"/>
              </w:rPr>
              <w:t>20</w:t>
            </w:r>
            <w:r>
              <w:rPr>
                <w:rFonts w:hint="eastAsia" w:ascii="宋体" w:hAnsi="宋体" w:eastAsia="宋体" w:cs="宋体"/>
                <w:b/>
                <w:bCs/>
                <w:highlight w:val="none"/>
                <w:lang w:eastAsia="zh-CN"/>
              </w:rPr>
              <w:t>分）</w:t>
            </w:r>
          </w:p>
          <w:p w14:paraId="5D2901E6">
            <w:pPr>
              <w:pStyle w:val="53"/>
              <w:spacing w:before="117" w:line="353" w:lineRule="auto"/>
              <w:ind w:left="112" w:right="103"/>
              <w:jc w:val="both"/>
              <w:rPr>
                <w:rFonts w:hint="eastAsia" w:ascii="宋体" w:hAnsi="宋体" w:eastAsia="宋体" w:cs="宋体"/>
                <w:color w:val="auto"/>
                <w:highlight w:val="none"/>
                <w:lang w:eastAsia="zh-CN"/>
              </w:rPr>
            </w:pPr>
            <w:r>
              <w:rPr>
                <w:rFonts w:hint="eastAsia" w:cs="宋体"/>
                <w:color w:val="auto"/>
                <w:sz w:val="24"/>
                <w:szCs w:val="24"/>
                <w:highlight w:val="none"/>
                <w:lang w:val="en-US" w:eastAsia="zh-CN"/>
              </w:rPr>
              <w:t>专业负责人</w:t>
            </w:r>
            <w:r>
              <w:rPr>
                <w:rFonts w:hint="eastAsia" w:cs="宋体"/>
                <w:color w:val="auto"/>
                <w:sz w:val="24"/>
                <w:szCs w:val="24"/>
                <w:highlight w:val="none"/>
              </w:rPr>
              <w:t>具有一级注册建筑师执业资格证书</w:t>
            </w:r>
            <w:r>
              <w:rPr>
                <w:rFonts w:hint="eastAsia" w:cs="宋体"/>
                <w:color w:val="auto"/>
                <w:sz w:val="24"/>
                <w:szCs w:val="24"/>
                <w:highlight w:val="none"/>
                <w:lang w:val="en-US" w:eastAsia="zh-CN"/>
              </w:rPr>
              <w:t>和</w:t>
            </w:r>
            <w:r>
              <w:rPr>
                <w:rFonts w:hint="eastAsia" w:cs="宋体"/>
                <w:color w:val="auto"/>
                <w:sz w:val="24"/>
                <w:szCs w:val="24"/>
                <w:highlight w:val="none"/>
              </w:rPr>
              <w:t>建筑工程相关专业高级及以上职称</w:t>
            </w:r>
            <w:r>
              <w:rPr>
                <w:rFonts w:hint="eastAsia" w:ascii="宋体" w:hAnsi="宋体" w:eastAsia="宋体" w:cs="宋体"/>
                <w:color w:val="auto"/>
                <w:highlight w:val="none"/>
                <w:lang w:eastAsia="zh-CN"/>
              </w:rPr>
              <w:t>的，得</w:t>
            </w:r>
            <w:r>
              <w:rPr>
                <w:rFonts w:hint="eastAsia" w:cs="宋体"/>
                <w:color w:val="auto"/>
                <w:highlight w:val="none"/>
                <w:lang w:val="en-US" w:eastAsia="zh-CN"/>
              </w:rPr>
              <w:t>2.5</w:t>
            </w:r>
            <w:r>
              <w:rPr>
                <w:rFonts w:hint="eastAsia" w:ascii="宋体" w:hAnsi="宋体" w:eastAsia="宋体" w:cs="宋体"/>
                <w:color w:val="auto"/>
                <w:highlight w:val="none"/>
                <w:lang w:eastAsia="zh-CN"/>
              </w:rPr>
              <w:t>分。满分</w:t>
            </w:r>
            <w:r>
              <w:rPr>
                <w:rFonts w:hint="eastAsia" w:cs="宋体"/>
                <w:color w:val="auto"/>
                <w:highlight w:val="none"/>
                <w:lang w:val="en-US" w:eastAsia="zh-CN"/>
              </w:rPr>
              <w:t>2.5</w:t>
            </w:r>
            <w:r>
              <w:rPr>
                <w:rFonts w:hint="eastAsia" w:ascii="宋体" w:hAnsi="宋体" w:eastAsia="宋体" w:cs="宋体"/>
                <w:color w:val="auto"/>
                <w:highlight w:val="none"/>
                <w:lang w:eastAsia="zh-CN"/>
              </w:rPr>
              <w:t>分。</w:t>
            </w:r>
          </w:p>
          <w:p w14:paraId="7371808C">
            <w:pPr>
              <w:pStyle w:val="53"/>
              <w:spacing w:before="117" w:line="353" w:lineRule="auto"/>
              <w:ind w:left="112" w:right="103"/>
              <w:jc w:val="both"/>
              <w:rPr>
                <w:rFonts w:hint="eastAsia" w:cs="宋体"/>
                <w:color w:val="auto"/>
                <w:sz w:val="24"/>
                <w:szCs w:val="24"/>
                <w:highlight w:val="none"/>
                <w:lang w:eastAsia="zh-CN"/>
              </w:rPr>
            </w:pPr>
            <w:r>
              <w:rPr>
                <w:rFonts w:hint="eastAsia" w:cs="宋体"/>
                <w:color w:val="auto"/>
                <w:sz w:val="24"/>
                <w:szCs w:val="24"/>
                <w:highlight w:val="none"/>
                <w:lang w:val="en-US" w:eastAsia="zh-CN"/>
              </w:rPr>
              <w:t>专业负责人</w:t>
            </w:r>
            <w:r>
              <w:rPr>
                <w:rFonts w:hint="eastAsia" w:cs="宋体"/>
                <w:color w:val="auto"/>
                <w:sz w:val="24"/>
                <w:szCs w:val="24"/>
                <w:highlight w:val="none"/>
              </w:rPr>
              <w:t>具有</w:t>
            </w:r>
            <w:r>
              <w:rPr>
                <w:rFonts w:hint="eastAsia" w:cs="宋体"/>
                <w:color w:val="auto"/>
                <w:sz w:val="24"/>
                <w:szCs w:val="24"/>
                <w:highlight w:val="none"/>
                <w:lang w:val="en-US" w:eastAsia="zh-CN"/>
              </w:rPr>
              <w:t>给排水</w:t>
            </w:r>
            <w:r>
              <w:rPr>
                <w:rFonts w:hint="eastAsia" w:cs="宋体"/>
                <w:color w:val="auto"/>
                <w:sz w:val="24"/>
                <w:szCs w:val="24"/>
                <w:highlight w:val="none"/>
              </w:rPr>
              <w:t>专业高级及以上职称</w:t>
            </w:r>
            <w:r>
              <w:rPr>
                <w:rFonts w:hint="eastAsia" w:cs="宋体"/>
                <w:color w:val="auto"/>
                <w:sz w:val="24"/>
                <w:szCs w:val="24"/>
                <w:highlight w:val="none"/>
                <w:lang w:eastAsia="zh-CN"/>
              </w:rPr>
              <w:t>的，</w:t>
            </w:r>
            <w:r>
              <w:rPr>
                <w:rFonts w:hint="eastAsia" w:cs="宋体"/>
                <w:color w:val="auto"/>
                <w:sz w:val="24"/>
                <w:szCs w:val="24"/>
                <w:highlight w:val="none"/>
                <w:lang w:val="en-US" w:eastAsia="zh-CN"/>
              </w:rPr>
              <w:t>每提供1 人</w:t>
            </w:r>
            <w:r>
              <w:rPr>
                <w:rFonts w:hint="eastAsia" w:cs="宋体"/>
                <w:color w:val="auto"/>
                <w:sz w:val="24"/>
                <w:szCs w:val="24"/>
                <w:highlight w:val="none"/>
                <w:lang w:eastAsia="zh-CN"/>
              </w:rPr>
              <w:t>得</w:t>
            </w:r>
            <w:r>
              <w:rPr>
                <w:rFonts w:hint="eastAsia" w:cs="宋体"/>
                <w:color w:val="auto"/>
                <w:sz w:val="24"/>
                <w:szCs w:val="24"/>
                <w:highlight w:val="none"/>
                <w:lang w:val="en-US" w:eastAsia="zh-CN"/>
              </w:rPr>
              <w:t>2.5</w:t>
            </w:r>
            <w:r>
              <w:rPr>
                <w:rFonts w:hint="eastAsia" w:cs="宋体"/>
                <w:color w:val="auto"/>
                <w:sz w:val="24"/>
                <w:szCs w:val="24"/>
                <w:highlight w:val="none"/>
                <w:lang w:eastAsia="zh-CN"/>
              </w:rPr>
              <w:t>分。满分</w:t>
            </w:r>
            <w:r>
              <w:rPr>
                <w:rFonts w:hint="eastAsia" w:cs="宋体"/>
                <w:color w:val="auto"/>
                <w:sz w:val="24"/>
                <w:szCs w:val="24"/>
                <w:highlight w:val="none"/>
                <w:lang w:val="en-US" w:eastAsia="zh-CN"/>
              </w:rPr>
              <w:t>5</w:t>
            </w:r>
            <w:r>
              <w:rPr>
                <w:rFonts w:hint="eastAsia" w:cs="宋体"/>
                <w:color w:val="auto"/>
                <w:sz w:val="24"/>
                <w:szCs w:val="24"/>
                <w:highlight w:val="none"/>
                <w:lang w:eastAsia="zh-CN"/>
              </w:rPr>
              <w:t>分。</w:t>
            </w:r>
          </w:p>
          <w:p w14:paraId="3B3E832F">
            <w:pPr>
              <w:pStyle w:val="53"/>
              <w:spacing w:before="117" w:line="353" w:lineRule="auto"/>
              <w:ind w:left="112" w:right="103"/>
              <w:jc w:val="both"/>
              <w:rPr>
                <w:rFonts w:hint="eastAsia" w:cs="宋体"/>
                <w:color w:val="auto"/>
                <w:sz w:val="24"/>
                <w:szCs w:val="24"/>
                <w:highlight w:val="none"/>
                <w:lang w:val="en-US" w:eastAsia="zh-CN"/>
              </w:rPr>
            </w:pPr>
            <w:r>
              <w:rPr>
                <w:rFonts w:hint="eastAsia" w:cs="宋体"/>
                <w:color w:val="auto"/>
                <w:sz w:val="24"/>
                <w:szCs w:val="24"/>
                <w:highlight w:val="none"/>
                <w:lang w:val="en-US" w:eastAsia="zh-CN"/>
              </w:rPr>
              <w:t>其他成员</w:t>
            </w:r>
            <w:r>
              <w:rPr>
                <w:rFonts w:hint="eastAsia" w:cs="宋体"/>
                <w:sz w:val="24"/>
                <w:szCs w:val="24"/>
                <w:highlight w:val="none"/>
              </w:rPr>
              <w:t>具有规划、给排水、消防</w:t>
            </w:r>
            <w:r>
              <w:rPr>
                <w:rFonts w:hint="eastAsia" w:cs="宋体"/>
                <w:sz w:val="24"/>
                <w:szCs w:val="24"/>
                <w:highlight w:val="none"/>
                <w:lang w:val="en-US" w:eastAsia="zh-CN"/>
              </w:rPr>
              <w:t>或建筑工程</w:t>
            </w:r>
            <w:r>
              <w:rPr>
                <w:rFonts w:hint="eastAsia" w:cs="宋体"/>
                <w:sz w:val="24"/>
                <w:szCs w:val="24"/>
                <w:highlight w:val="none"/>
              </w:rPr>
              <w:t>、市政、环境工程</w:t>
            </w:r>
            <w:r>
              <w:rPr>
                <w:rFonts w:hint="eastAsia" w:cs="宋体"/>
                <w:color w:val="auto"/>
                <w:sz w:val="24"/>
                <w:szCs w:val="24"/>
                <w:highlight w:val="none"/>
                <w:lang w:val="en-US" w:eastAsia="zh-CN"/>
              </w:rPr>
              <w:t>中级及以上职称证书人员，每提供1 人得2.5 分，同一专业仅计一次得分。满分12.5分。</w:t>
            </w:r>
          </w:p>
          <w:p w14:paraId="0FB84D17">
            <w:pPr>
              <w:pStyle w:val="53"/>
              <w:spacing w:before="117" w:line="353" w:lineRule="auto"/>
              <w:ind w:left="112" w:right="103"/>
              <w:jc w:val="both"/>
              <w:rPr>
                <w:rFonts w:hint="default" w:ascii="宋体" w:hAnsi="宋体" w:eastAsia="宋体" w:cs="宋体"/>
                <w:highlight w:val="none"/>
                <w:lang w:val="en-US" w:eastAsia="zh-CN"/>
              </w:rPr>
            </w:pPr>
            <w:r>
              <w:rPr>
                <w:rFonts w:hint="eastAsia" w:ascii="宋体" w:hAnsi="宋体" w:eastAsia="宋体" w:cs="宋体"/>
                <w:b/>
                <w:bCs/>
                <w:highlight w:val="none"/>
                <w:lang w:eastAsia="zh-CN"/>
              </w:rPr>
              <w:t>注：上述人员不得兼任；响应文件中同时提供以下证明材料：1.人员名单（格式自拟）；2.上述人员证书扫描件或影印件；3.供应商为上述人员缴纳的近3个月内（任意一个月即可）社保证明材料扫描件或影印件，未提供或提供不全的不得分（提供养老、医疗、工伤、失业四险之一即可）</w:t>
            </w:r>
            <w:r>
              <w:rPr>
                <w:rFonts w:hint="eastAsia" w:cs="宋体"/>
                <w:b/>
                <w:bCs/>
                <w:highlight w:val="none"/>
                <w:lang w:eastAsia="zh-CN"/>
              </w:rPr>
              <w:t>；</w:t>
            </w:r>
            <w:r>
              <w:rPr>
                <w:rFonts w:hint="eastAsia" w:cs="宋体"/>
                <w:b/>
                <w:bCs/>
                <w:highlight w:val="none"/>
                <w:lang w:val="en-US" w:eastAsia="zh-CN"/>
              </w:rPr>
              <w:t>4.同一人员具有多个证书不重复累计得分，仅计一次得分。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23E6E29F">
            <w:pPr>
              <w:pStyle w:val="53"/>
              <w:spacing w:before="78" w:line="221" w:lineRule="auto"/>
              <w:jc w:val="center"/>
              <w:rPr>
                <w:rFonts w:hint="default" w:eastAsia="宋体"/>
                <w:spacing w:val="-3"/>
                <w:highlight w:val="none"/>
                <w:u w:val="none"/>
                <w:lang w:val="en-US" w:eastAsia="zh-CN"/>
              </w:rPr>
            </w:pPr>
            <w:r>
              <w:rPr>
                <w:rFonts w:hint="eastAsia"/>
                <w:spacing w:val="-3"/>
                <w:highlight w:val="none"/>
                <w:u w:val="none"/>
                <w:lang w:val="en-US" w:eastAsia="zh-CN"/>
              </w:rPr>
              <w:t>0-20分</w:t>
            </w:r>
          </w:p>
        </w:tc>
      </w:tr>
      <w:tr w14:paraId="1FE7D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vMerge w:val="continue"/>
            <w:tcBorders>
              <w:left w:val="single" w:color="auto" w:sz="4" w:space="0"/>
              <w:right w:val="single" w:color="auto" w:sz="4" w:space="0"/>
            </w:tcBorders>
            <w:noWrap w:val="0"/>
            <w:vAlign w:val="center"/>
          </w:tcPr>
          <w:p w14:paraId="21E3E744">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55AA581B">
            <w:pPr>
              <w:pStyle w:val="53"/>
              <w:tabs>
                <w:tab w:val="left" w:pos="1200"/>
              </w:tabs>
              <w:spacing w:before="78" w:line="347" w:lineRule="auto"/>
              <w:ind w:right="54" w:rightChars="0"/>
              <w:jc w:val="center"/>
              <w:rPr>
                <w:rFonts w:hint="eastAsia" w:ascii="宋体" w:hAnsi="宋体" w:eastAsia="宋体" w:cs="宋体"/>
                <w:b w:val="0"/>
                <w:bCs w:val="0"/>
                <w:color w:val="auto"/>
                <w:sz w:val="24"/>
                <w:szCs w:val="24"/>
                <w:highlight w:val="none"/>
              </w:rPr>
            </w:pPr>
            <w:r>
              <w:rPr>
                <w:spacing w:val="-3"/>
                <w:highlight w:val="none"/>
              </w:rPr>
              <w:t>供应商业</w:t>
            </w:r>
            <w:r>
              <w:rPr>
                <w:highlight w:val="none"/>
              </w:rPr>
              <w:t>绩</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02CDBF99">
            <w:pPr>
              <w:pStyle w:val="53"/>
              <w:spacing w:before="117" w:line="353" w:lineRule="auto"/>
              <w:ind w:left="112" w:right="103"/>
              <w:jc w:val="both"/>
              <w:rPr>
                <w:rFonts w:hint="eastAsia" w:ascii="宋体" w:hAnsi="宋体" w:eastAsia="宋体" w:cs="宋体"/>
                <w:highlight w:val="none"/>
                <w:lang w:eastAsia="zh-CN"/>
              </w:rPr>
            </w:pPr>
            <w:r>
              <w:rPr>
                <w:rFonts w:hint="eastAsia" w:ascii="宋体" w:hAnsi="宋体" w:eastAsia="宋体" w:cs="宋体"/>
                <w:highlight w:val="none"/>
                <w:lang w:eastAsia="zh-CN"/>
              </w:rPr>
              <w:t>自2020年1月1日起至今（以合同签订时间为准），供应商</w:t>
            </w:r>
            <w:r>
              <w:rPr>
                <w:rFonts w:hint="eastAsia" w:cs="宋体"/>
                <w:highlight w:val="none"/>
                <w:lang w:val="en-US" w:eastAsia="zh-CN"/>
              </w:rPr>
              <w:t>具有</w:t>
            </w:r>
            <w:r>
              <w:rPr>
                <w:rFonts w:hint="eastAsia" w:ascii="宋体" w:hAnsi="宋体" w:eastAsia="宋体" w:cs="宋体"/>
                <w:highlight w:val="none"/>
                <w:lang w:eastAsia="zh-CN"/>
              </w:rPr>
              <w:t>排水设计类业绩每提供一个得</w:t>
            </w:r>
            <w:r>
              <w:rPr>
                <w:rFonts w:hint="eastAsia" w:cs="宋体"/>
                <w:highlight w:val="none"/>
                <w:lang w:val="en-US" w:eastAsia="zh-CN"/>
              </w:rPr>
              <w:t>2.5</w:t>
            </w:r>
            <w:r>
              <w:rPr>
                <w:rFonts w:hint="eastAsia" w:ascii="宋体" w:hAnsi="宋体" w:eastAsia="宋体" w:cs="宋体"/>
                <w:highlight w:val="none"/>
                <w:lang w:eastAsia="zh-CN"/>
              </w:rPr>
              <w:t>分，满分</w:t>
            </w:r>
            <w:r>
              <w:rPr>
                <w:rFonts w:hint="eastAsia" w:cs="宋体"/>
                <w:highlight w:val="none"/>
                <w:lang w:val="en-US" w:eastAsia="zh-CN"/>
              </w:rPr>
              <w:t>5</w:t>
            </w:r>
            <w:r>
              <w:rPr>
                <w:rFonts w:hint="eastAsia" w:ascii="宋体" w:hAnsi="宋体" w:eastAsia="宋体" w:cs="宋体"/>
                <w:highlight w:val="none"/>
                <w:lang w:eastAsia="zh-CN"/>
              </w:rPr>
              <w:t>分。</w:t>
            </w:r>
          </w:p>
          <w:p w14:paraId="5AAFAE9B">
            <w:pPr>
              <w:pStyle w:val="53"/>
              <w:spacing w:before="117" w:line="353" w:lineRule="auto"/>
              <w:ind w:left="112" w:right="103"/>
              <w:jc w:val="both"/>
              <w:rPr>
                <w:rFonts w:hint="eastAsia" w:ascii="宋体" w:hAnsi="宋体" w:eastAsia="宋体" w:cs="宋体"/>
                <w:highlight w:val="none"/>
                <w:lang w:eastAsia="zh-CN"/>
              </w:rPr>
            </w:pPr>
            <w:r>
              <w:rPr>
                <w:rFonts w:hint="eastAsia" w:ascii="宋体" w:hAnsi="宋体" w:eastAsia="宋体" w:cs="宋体"/>
                <w:highlight w:val="none"/>
                <w:lang w:eastAsia="zh-CN"/>
              </w:rPr>
              <w:t>供应商具有消防</w:t>
            </w:r>
            <w:r>
              <w:rPr>
                <w:rFonts w:hint="eastAsia" w:cs="宋体"/>
                <w:highlight w:val="none"/>
                <w:lang w:val="en-US" w:eastAsia="zh-CN"/>
              </w:rPr>
              <w:t>或建筑工程</w:t>
            </w:r>
            <w:r>
              <w:rPr>
                <w:rFonts w:hint="eastAsia" w:ascii="宋体" w:hAnsi="宋体" w:eastAsia="宋体" w:cs="宋体"/>
                <w:highlight w:val="none"/>
                <w:lang w:eastAsia="zh-CN"/>
              </w:rPr>
              <w:t>设计类业绩的每提供一个得</w:t>
            </w:r>
            <w:r>
              <w:rPr>
                <w:rFonts w:hint="eastAsia" w:cs="宋体"/>
                <w:highlight w:val="none"/>
                <w:lang w:val="en-US" w:eastAsia="zh-CN"/>
              </w:rPr>
              <w:t>2.5</w:t>
            </w:r>
            <w:r>
              <w:rPr>
                <w:rFonts w:hint="eastAsia" w:ascii="宋体" w:hAnsi="宋体" w:eastAsia="宋体" w:cs="宋体"/>
                <w:highlight w:val="none"/>
                <w:lang w:eastAsia="zh-CN"/>
              </w:rPr>
              <w:t>分，满分</w:t>
            </w:r>
            <w:r>
              <w:rPr>
                <w:rFonts w:hint="eastAsia" w:cs="宋体"/>
                <w:highlight w:val="none"/>
                <w:lang w:val="en-US" w:eastAsia="zh-CN"/>
              </w:rPr>
              <w:t>5</w:t>
            </w:r>
            <w:r>
              <w:rPr>
                <w:rFonts w:hint="eastAsia" w:ascii="宋体" w:hAnsi="宋体" w:eastAsia="宋体" w:cs="宋体"/>
                <w:highlight w:val="none"/>
                <w:lang w:eastAsia="zh-CN"/>
              </w:rPr>
              <w:t>分。</w:t>
            </w:r>
          </w:p>
          <w:p w14:paraId="22EDA6B0">
            <w:pPr>
              <w:pStyle w:val="53"/>
              <w:spacing w:before="117" w:line="353" w:lineRule="auto"/>
              <w:ind w:left="112" w:right="103"/>
              <w:jc w:val="both"/>
              <w:rPr>
                <w:rFonts w:hint="eastAsia" w:ascii="宋体" w:hAnsi="宋体" w:eastAsia="宋体" w:cs="宋体"/>
                <w:highlight w:val="none"/>
                <w:lang w:eastAsia="zh-CN"/>
              </w:rPr>
            </w:pPr>
            <w:r>
              <w:rPr>
                <w:rFonts w:hint="eastAsia" w:ascii="宋体" w:hAnsi="宋体" w:eastAsia="宋体" w:cs="宋体"/>
                <w:highlight w:val="none"/>
                <w:lang w:eastAsia="zh-CN"/>
              </w:rPr>
              <w:t>供应商具有</w:t>
            </w:r>
            <w:r>
              <w:rPr>
                <w:rFonts w:hint="eastAsia" w:cs="宋体"/>
                <w:highlight w:val="none"/>
                <w:lang w:val="en-US" w:eastAsia="zh-CN"/>
              </w:rPr>
              <w:t>管线综合设计</w:t>
            </w:r>
            <w:r>
              <w:rPr>
                <w:rFonts w:hint="eastAsia" w:ascii="宋体" w:hAnsi="宋体" w:eastAsia="宋体" w:cs="宋体"/>
                <w:highlight w:val="none"/>
                <w:lang w:eastAsia="zh-CN"/>
              </w:rPr>
              <w:t>业绩的每提供一个得</w:t>
            </w:r>
            <w:r>
              <w:rPr>
                <w:rFonts w:hint="eastAsia" w:cs="宋体"/>
                <w:highlight w:val="none"/>
                <w:lang w:val="en-US" w:eastAsia="zh-CN"/>
              </w:rPr>
              <w:t>2.5</w:t>
            </w:r>
            <w:r>
              <w:rPr>
                <w:rFonts w:hint="eastAsia" w:ascii="宋体" w:hAnsi="宋体" w:eastAsia="宋体" w:cs="宋体"/>
                <w:highlight w:val="none"/>
                <w:lang w:eastAsia="zh-CN"/>
              </w:rPr>
              <w:t>分，满分</w:t>
            </w:r>
            <w:r>
              <w:rPr>
                <w:rFonts w:hint="eastAsia" w:cs="宋体"/>
                <w:highlight w:val="none"/>
                <w:lang w:val="en-US" w:eastAsia="zh-CN"/>
              </w:rPr>
              <w:t>5</w:t>
            </w:r>
            <w:r>
              <w:rPr>
                <w:rFonts w:hint="eastAsia" w:ascii="宋体" w:hAnsi="宋体" w:eastAsia="宋体" w:cs="宋体"/>
                <w:highlight w:val="none"/>
                <w:lang w:eastAsia="zh-CN"/>
              </w:rPr>
              <w:t>分。</w:t>
            </w:r>
          </w:p>
          <w:p w14:paraId="1A50DCB4">
            <w:pPr>
              <w:pStyle w:val="53"/>
              <w:spacing w:before="117" w:line="353" w:lineRule="auto"/>
              <w:ind w:left="112" w:right="103"/>
              <w:jc w:val="both"/>
              <w:rPr>
                <w:rFonts w:hint="eastAsia" w:ascii="宋体" w:hAnsi="宋体" w:eastAsia="宋体" w:cs="宋体"/>
                <w:highlight w:val="none"/>
                <w:lang w:eastAsia="zh-CN"/>
              </w:rPr>
            </w:pPr>
            <w:r>
              <w:rPr>
                <w:rFonts w:hint="eastAsia" w:ascii="宋体" w:hAnsi="宋体" w:eastAsia="宋体" w:cs="宋体"/>
                <w:highlight w:val="none"/>
                <w:lang w:eastAsia="zh-CN"/>
              </w:rPr>
              <w:t>注：响应文件中提供业绩合同扫描件（或影印件）。若合同中无法体现签订时间、服务内容等关键评审因素的，须同时提供业主（合同甲方）证明材料，否则不得分。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5E6B2162">
            <w:pPr>
              <w:pStyle w:val="53"/>
              <w:spacing w:before="78" w:line="221" w:lineRule="auto"/>
              <w:jc w:val="center"/>
              <w:rPr>
                <w:rFonts w:hint="eastAsia" w:ascii="宋体" w:hAnsi="宋体" w:eastAsia="宋体" w:cs="宋体"/>
                <w:b w:val="0"/>
                <w:bCs w:val="0"/>
                <w:color w:val="auto"/>
                <w:sz w:val="24"/>
                <w:szCs w:val="24"/>
                <w:highlight w:val="none"/>
              </w:rPr>
            </w:pPr>
            <w:r>
              <w:rPr>
                <w:spacing w:val="-3"/>
                <w:highlight w:val="none"/>
              </w:rPr>
              <w:t>0-1</w:t>
            </w:r>
            <w:r>
              <w:rPr>
                <w:rFonts w:hint="eastAsia"/>
                <w:spacing w:val="-3"/>
                <w:highlight w:val="none"/>
                <w:lang w:val="en-US" w:eastAsia="zh-CN"/>
              </w:rPr>
              <w:t>5</w:t>
            </w:r>
            <w:r>
              <w:rPr>
                <w:spacing w:val="-3"/>
                <w:highlight w:val="none"/>
              </w:rPr>
              <w:t>分</w:t>
            </w:r>
          </w:p>
        </w:tc>
      </w:tr>
      <w:tr w14:paraId="0F19A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left w:val="single" w:color="auto" w:sz="4" w:space="0"/>
              <w:right w:val="single" w:color="auto" w:sz="4" w:space="0"/>
            </w:tcBorders>
            <w:noWrap w:val="0"/>
            <w:vAlign w:val="center"/>
          </w:tcPr>
          <w:p w14:paraId="157F9EFB">
            <w:pPr>
              <w:keepNext w:val="0"/>
              <w:keepLines w:val="0"/>
              <w:pageBreakBefore w:val="0"/>
              <w:widowControl w:val="0"/>
              <w:kinsoku/>
              <w:wordWrap/>
              <w:overflowPunct/>
              <w:topLinePunct w:val="0"/>
              <w:autoSpaceDE/>
              <w:autoSpaceDN/>
              <w:bidi w:val="0"/>
              <w:adjustRightInd/>
              <w:snapToGrid/>
              <w:spacing w:line="360" w:lineRule="auto"/>
              <w:ind w:firstLine="0"/>
              <w:jc w:val="center"/>
              <w:textAlignment w:val="auto"/>
              <w:rPr>
                <w:rFonts w:hint="eastAsia" w:ascii="宋体" w:hAnsi="宋体" w:eastAsia="宋体" w:cs="宋体"/>
                <w:b w:val="0"/>
                <w:bCs w:val="0"/>
                <w:color w:val="auto"/>
                <w:sz w:val="24"/>
                <w:szCs w:val="24"/>
                <w:highlight w:val="none"/>
              </w:rPr>
            </w:pPr>
          </w:p>
        </w:tc>
        <w:tc>
          <w:tcPr>
            <w:tcW w:w="786" w:type="pct"/>
            <w:tcBorders>
              <w:top w:val="single" w:color="auto" w:sz="4" w:space="0"/>
              <w:left w:val="single" w:color="auto" w:sz="4" w:space="0"/>
              <w:bottom w:val="single" w:color="auto" w:sz="4" w:space="0"/>
              <w:right w:val="single" w:color="auto" w:sz="4" w:space="0"/>
            </w:tcBorders>
            <w:noWrap w:val="0"/>
            <w:vAlign w:val="center"/>
          </w:tcPr>
          <w:p w14:paraId="192922BF">
            <w:pPr>
              <w:pStyle w:val="53"/>
              <w:tabs>
                <w:tab w:val="left" w:pos="1200"/>
              </w:tabs>
              <w:spacing w:before="78" w:line="347" w:lineRule="auto"/>
              <w:ind w:right="54" w:rightChars="0"/>
              <w:jc w:val="center"/>
              <w:rPr>
                <w:spacing w:val="-3"/>
                <w:highlight w:val="none"/>
              </w:rPr>
            </w:pPr>
            <w:r>
              <w:rPr>
                <w:rFonts w:hint="eastAsia"/>
                <w:spacing w:val="-3"/>
                <w:highlight w:val="none"/>
              </w:rPr>
              <w:t>供应商荣誉或奖项</w:t>
            </w:r>
          </w:p>
        </w:tc>
        <w:tc>
          <w:tcPr>
            <w:tcW w:w="2986" w:type="pct"/>
            <w:tcBorders>
              <w:top w:val="single" w:color="auto" w:sz="4" w:space="0"/>
              <w:left w:val="single" w:color="auto" w:sz="4" w:space="0"/>
              <w:bottom w:val="single" w:color="auto" w:sz="4" w:space="0"/>
              <w:right w:val="single" w:color="auto" w:sz="4" w:space="0"/>
            </w:tcBorders>
            <w:noWrap w:val="0"/>
            <w:vAlign w:val="top"/>
          </w:tcPr>
          <w:p w14:paraId="49F36D5C">
            <w:pPr>
              <w:pStyle w:val="53"/>
              <w:spacing w:before="117" w:line="353" w:lineRule="auto"/>
              <w:ind w:left="112" w:right="103"/>
              <w:jc w:val="both"/>
              <w:rPr>
                <w:rFonts w:hint="eastAsia" w:ascii="宋体" w:hAnsi="宋体" w:eastAsia="宋体" w:cs="宋体"/>
                <w:highlight w:val="none"/>
                <w:lang w:eastAsia="zh-CN"/>
              </w:rPr>
            </w:pPr>
            <w:r>
              <w:rPr>
                <w:rFonts w:hint="eastAsia" w:ascii="宋体" w:hAnsi="宋体" w:eastAsia="宋体" w:cs="宋体"/>
                <w:highlight w:val="none"/>
                <w:lang w:eastAsia="zh-CN"/>
              </w:rPr>
              <w:t>自2020年1月1日（以获奖时间为准）以来，供应商或供应商承担的设计项目获得过</w:t>
            </w:r>
            <w:r>
              <w:rPr>
                <w:rFonts w:hint="eastAsia" w:cs="宋体"/>
                <w:highlight w:val="none"/>
                <w:lang w:val="en-US" w:eastAsia="zh-CN"/>
              </w:rPr>
              <w:t>行业主管部门或行业协会（学会）</w:t>
            </w:r>
            <w:r>
              <w:rPr>
                <w:rFonts w:hint="eastAsia" w:ascii="宋体" w:hAnsi="宋体" w:eastAsia="宋体" w:cs="宋体"/>
                <w:highlight w:val="none"/>
                <w:lang w:eastAsia="zh-CN"/>
              </w:rPr>
              <w:t>颁发的荣誉（或奖项）每提供1个得</w:t>
            </w:r>
            <w:r>
              <w:rPr>
                <w:rFonts w:hint="eastAsia" w:cs="宋体"/>
                <w:highlight w:val="none"/>
                <w:lang w:val="en-US" w:eastAsia="zh-CN"/>
              </w:rPr>
              <w:t>4</w:t>
            </w:r>
            <w:r>
              <w:rPr>
                <w:rFonts w:hint="eastAsia" w:ascii="宋体" w:hAnsi="宋体" w:eastAsia="宋体" w:cs="宋体"/>
                <w:highlight w:val="none"/>
                <w:lang w:eastAsia="zh-CN"/>
              </w:rPr>
              <w:t>分。本项满分</w:t>
            </w:r>
            <w:r>
              <w:rPr>
                <w:rFonts w:hint="eastAsia" w:cs="宋体"/>
                <w:highlight w:val="none"/>
                <w:lang w:val="en-US" w:eastAsia="zh-CN"/>
              </w:rPr>
              <w:t>12</w:t>
            </w:r>
            <w:r>
              <w:rPr>
                <w:rFonts w:hint="eastAsia" w:ascii="宋体" w:hAnsi="宋体" w:eastAsia="宋体" w:cs="宋体"/>
                <w:highlight w:val="none"/>
                <w:lang w:eastAsia="zh-CN"/>
              </w:rPr>
              <w:t>分。</w:t>
            </w:r>
          </w:p>
          <w:p w14:paraId="3FD9C6FC">
            <w:pPr>
              <w:pStyle w:val="53"/>
              <w:spacing w:before="117" w:line="353" w:lineRule="auto"/>
              <w:ind w:left="112" w:right="103"/>
              <w:jc w:val="both"/>
              <w:rPr>
                <w:rFonts w:hint="eastAsia" w:ascii="宋体" w:hAnsi="宋体" w:eastAsia="宋体" w:cs="宋体"/>
                <w:highlight w:val="none"/>
                <w:lang w:eastAsia="zh-CN"/>
              </w:rPr>
            </w:pPr>
            <w:r>
              <w:rPr>
                <w:rFonts w:hint="eastAsia" w:ascii="宋体" w:hAnsi="宋体" w:eastAsia="宋体" w:cs="宋体"/>
                <w:b/>
                <w:bCs/>
                <w:highlight w:val="none"/>
                <w:lang w:eastAsia="zh-CN"/>
              </w:rPr>
              <w:t>注：1.响应文件中提供表彰单位的表彰文件扫描件或影印件或表彰单位官网文件截图（注：表彰文件不含荣誉证书、奖杯、奖牌、奖状）为评审依据，表彰文件或表彰单位官网文件截图须能体现出供应商名称、获奖时间，如无法体现，须另附表彰单位的相关证明材料，未提供或提供不全的不得分。2.同一项目获得多个荣誉仅计分一次，不重复计分。</w:t>
            </w:r>
          </w:p>
        </w:tc>
        <w:tc>
          <w:tcPr>
            <w:tcW w:w="648" w:type="pct"/>
            <w:tcBorders>
              <w:top w:val="single" w:color="auto" w:sz="4" w:space="0"/>
              <w:left w:val="single" w:color="auto" w:sz="4" w:space="0"/>
              <w:bottom w:val="single" w:color="auto" w:sz="4" w:space="0"/>
              <w:right w:val="single" w:color="auto" w:sz="4" w:space="0"/>
            </w:tcBorders>
            <w:noWrap w:val="0"/>
            <w:vAlign w:val="center"/>
          </w:tcPr>
          <w:p w14:paraId="1786DD90">
            <w:pPr>
              <w:pStyle w:val="53"/>
              <w:spacing w:before="78" w:line="221" w:lineRule="auto"/>
              <w:jc w:val="center"/>
              <w:rPr>
                <w:spacing w:val="-3"/>
                <w:highlight w:val="none"/>
              </w:rPr>
            </w:pPr>
            <w:r>
              <w:rPr>
                <w:spacing w:val="-3"/>
                <w:highlight w:val="none"/>
              </w:rPr>
              <w:t>0-</w:t>
            </w:r>
            <w:r>
              <w:rPr>
                <w:rFonts w:hint="eastAsia"/>
                <w:spacing w:val="-3"/>
                <w:highlight w:val="none"/>
                <w:lang w:val="en-US" w:eastAsia="zh-CN"/>
              </w:rPr>
              <w:t>12</w:t>
            </w:r>
            <w:r>
              <w:rPr>
                <w:spacing w:val="-3"/>
                <w:highlight w:val="none"/>
              </w:rPr>
              <w:t>分</w:t>
            </w:r>
          </w:p>
        </w:tc>
      </w:tr>
      <w:tr w14:paraId="1CD0B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77" w:type="pct"/>
            <w:tcBorders>
              <w:left w:val="single" w:color="auto" w:sz="4" w:space="0"/>
              <w:right w:val="single" w:color="auto" w:sz="4" w:space="0"/>
            </w:tcBorders>
            <w:noWrap w:val="0"/>
            <w:vAlign w:val="center"/>
          </w:tcPr>
          <w:p w14:paraId="3B5CB207">
            <w:pPr>
              <w:spacing w:line="360" w:lineRule="auto"/>
              <w:jc w:val="center"/>
              <w:rPr>
                <w:rFonts w:hint="eastAsia" w:ascii="宋体" w:hAnsi="宋体" w:eastAsia="宋体" w:cs="宋体"/>
                <w:sz w:val="24"/>
                <w:szCs w:val="24"/>
                <w:highlight w:val="none"/>
              </w:rPr>
            </w:pPr>
            <w:r>
              <w:rPr>
                <w:rFonts w:hint="eastAsia" w:ascii="宋体" w:hAnsi="宋体" w:eastAsia="宋体" w:cs="宋体"/>
                <w:sz w:val="24"/>
                <w:szCs w:val="24"/>
                <w:highlight w:val="none"/>
              </w:rPr>
              <w:t>价格分</w:t>
            </w:r>
          </w:p>
          <w:p w14:paraId="61D7BBA2">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w:t>
            </w:r>
            <w:r>
              <w:rPr>
                <w:rFonts w:hint="eastAsia" w:cs="宋体"/>
                <w:sz w:val="24"/>
                <w:szCs w:val="24"/>
                <w:highlight w:val="none"/>
                <w:lang w:val="en-US" w:eastAsia="zh-CN"/>
              </w:rPr>
              <w:t>1</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分）</w:t>
            </w:r>
          </w:p>
        </w:tc>
        <w:tc>
          <w:tcPr>
            <w:tcW w:w="4422" w:type="pct"/>
            <w:gridSpan w:val="3"/>
            <w:tcBorders>
              <w:top w:val="single" w:color="auto" w:sz="4" w:space="0"/>
              <w:left w:val="single" w:color="auto" w:sz="4" w:space="0"/>
              <w:bottom w:val="single" w:color="auto" w:sz="4" w:space="0"/>
              <w:right w:val="single" w:color="auto" w:sz="4" w:space="0"/>
            </w:tcBorders>
            <w:noWrap w:val="0"/>
            <w:vAlign w:val="center"/>
          </w:tcPr>
          <w:p w14:paraId="054D3510">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sz w:val="24"/>
                <w:szCs w:val="24"/>
                <w:highlight w:val="none"/>
              </w:rPr>
              <w:t>价格分统一采用低价优先法，即满足磋商文件要求且价格最低的最后报价为评标基准价，其价格分为满分</w:t>
            </w:r>
            <w:r>
              <w:rPr>
                <w:rFonts w:hint="eastAsia" w:cs="宋体"/>
                <w:sz w:val="24"/>
                <w:szCs w:val="24"/>
                <w:highlight w:val="none"/>
                <w:u w:val="single"/>
                <w:lang w:val="en-US" w:eastAsia="zh-CN"/>
              </w:rPr>
              <w:t>1</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分。其他供应商的价格分统一按照下列公式计算：最后报价得分＝（评标基准价/最后报价）×</w:t>
            </w:r>
            <w:r>
              <w:rPr>
                <w:rFonts w:hint="eastAsia" w:cs="宋体"/>
                <w:sz w:val="24"/>
                <w:szCs w:val="24"/>
                <w:highlight w:val="none"/>
                <w:u w:val="single"/>
                <w:lang w:val="en-US" w:eastAsia="zh-CN"/>
              </w:rPr>
              <w:t>1</w:t>
            </w:r>
            <w:r>
              <w:rPr>
                <w:rFonts w:hint="eastAsia" w:ascii="宋体" w:hAnsi="宋体" w:eastAsia="宋体" w:cs="宋体"/>
                <w:sz w:val="24"/>
                <w:szCs w:val="24"/>
                <w:highlight w:val="none"/>
                <w:u w:val="single"/>
                <w:lang w:val="en-US" w:eastAsia="zh-CN"/>
              </w:rPr>
              <w:t>0</w:t>
            </w:r>
            <w:r>
              <w:rPr>
                <w:rFonts w:hint="eastAsia" w:ascii="宋体" w:hAnsi="宋体" w:eastAsia="宋体" w:cs="宋体"/>
                <w:sz w:val="24"/>
                <w:szCs w:val="24"/>
                <w:highlight w:val="none"/>
              </w:rPr>
              <w:t>％×100</w:t>
            </w:r>
          </w:p>
        </w:tc>
      </w:tr>
    </w:tbl>
    <w:p w14:paraId="4EB902D4">
      <w:pPr>
        <w:pStyle w:val="2"/>
        <w:rPr>
          <w:rFonts w:hint="default" w:ascii="宋体" w:hAnsi="宋体" w:eastAsia="宋体" w:cs="Times New Roman"/>
          <w:b/>
          <w:bCs/>
          <w:sz w:val="24"/>
          <w:szCs w:val="20"/>
          <w:highlight w:val="yellow"/>
          <w:lang w:val="en-US" w:eastAsia="zh-CN" w:bidi="ar-SA"/>
        </w:rPr>
      </w:pPr>
    </w:p>
    <w:p w14:paraId="0F9ACC33">
      <w:pPr>
        <w:spacing w:line="360" w:lineRule="auto"/>
        <w:ind w:firstLine="435"/>
        <w:rPr>
          <w:sz w:val="24"/>
        </w:rPr>
      </w:pPr>
      <w:r>
        <w:rPr>
          <w:rFonts w:hint="eastAsia"/>
          <w:sz w:val="24"/>
        </w:rPr>
        <w:t>2</w:t>
      </w:r>
      <w:r>
        <w:rPr>
          <w:sz w:val="24"/>
        </w:rPr>
        <w:t>.</w:t>
      </w:r>
      <w:r>
        <w:rPr>
          <w:rFonts w:hint="eastAsia"/>
          <w:sz w:val="24"/>
        </w:rPr>
        <w:t>2</w:t>
      </w:r>
      <w:r>
        <w:rPr>
          <w:sz w:val="24"/>
        </w:rPr>
        <w:t>.3</w:t>
      </w:r>
      <w:r>
        <w:rPr>
          <w:rFonts w:hint="eastAsia"/>
          <w:sz w:val="24"/>
        </w:rPr>
        <w:t>分值汇总</w:t>
      </w:r>
    </w:p>
    <w:p w14:paraId="1B8399D8">
      <w:pPr>
        <w:spacing w:line="360" w:lineRule="auto"/>
        <w:ind w:firstLine="435"/>
        <w:rPr>
          <w:sz w:val="24"/>
        </w:rPr>
      </w:pPr>
      <w:r>
        <w:rPr>
          <w:rFonts w:hint="eastAsia"/>
          <w:sz w:val="24"/>
        </w:rPr>
        <w:t>（1）磋商小组各成员应当独立对每个有效响应的文件进行评价、打分，然后汇总每个供应商每项评分因素的得分，再取各位磋商小组成员评分之平均值，四舍五入保留至小数点后两位数，得到该供应商的技术资信分。</w:t>
      </w:r>
    </w:p>
    <w:p w14:paraId="161B2BC8">
      <w:pPr>
        <w:spacing w:line="360" w:lineRule="auto"/>
        <w:ind w:firstLine="435"/>
        <w:rPr>
          <w:sz w:val="24"/>
        </w:rPr>
      </w:pPr>
      <w:r>
        <w:rPr>
          <w:rFonts w:hint="eastAsia"/>
          <w:sz w:val="24"/>
        </w:rPr>
        <w:t>（2）将每个供应商的技术资信分加上根据上述标准计算出的价格分，即为该供应商的综合总得分。</w:t>
      </w:r>
    </w:p>
    <w:p w14:paraId="27DF6E11">
      <w:pPr>
        <w:spacing w:line="360" w:lineRule="auto"/>
        <w:jc w:val="center"/>
        <w:outlineLvl w:val="0"/>
        <w:rPr>
          <w:b/>
          <w:sz w:val="28"/>
        </w:rPr>
      </w:pPr>
      <w:r>
        <w:rPr>
          <w:sz w:val="24"/>
        </w:rPr>
        <w:br w:type="page"/>
      </w:r>
      <w:bookmarkStart w:id="52" w:name="_Toc14165"/>
      <w:r>
        <w:rPr>
          <w:rFonts w:hint="eastAsia"/>
          <w:b/>
          <w:sz w:val="28"/>
        </w:rPr>
        <w:t>第五章  合同条款及格式</w:t>
      </w:r>
      <w:bookmarkEnd w:id="52"/>
    </w:p>
    <w:p w14:paraId="34EAFE5C">
      <w:pPr>
        <w:pStyle w:val="18"/>
        <w:keepNext w:val="0"/>
        <w:keepLines w:val="0"/>
        <w:widowControl/>
        <w:suppressLineNumbers w:val="0"/>
        <w:spacing w:before="0" w:beforeAutospacing="0" w:after="0" w:afterAutospacing="0"/>
        <w:ind w:left="0" w:right="0"/>
        <w:jc w:val="center"/>
        <w:rPr>
          <w:rFonts w:hint="eastAsia" w:ascii="仿宋_GB2312" w:eastAsia="仿宋_GB2312" w:cs="仿宋_GB2312"/>
          <w:b/>
          <w:bCs/>
          <w:i w:val="0"/>
          <w:iCs w:val="0"/>
          <w:color w:val="000000"/>
          <w:spacing w:val="0"/>
          <w:w w:val="100"/>
          <w:sz w:val="36"/>
          <w:szCs w:val="36"/>
          <w:vertAlign w:val="baseline"/>
          <w:lang w:val="en-US" w:eastAsia="zh-CN"/>
        </w:rPr>
      </w:pPr>
      <w:r>
        <w:rPr>
          <w:rFonts w:ascii="仿宋_GB2312" w:eastAsia="仿宋_GB2312" w:cs="仿宋_GB2312"/>
          <w:b/>
          <w:bCs/>
          <w:i w:val="0"/>
          <w:iCs w:val="0"/>
          <w:color w:val="000000"/>
          <w:spacing w:val="0"/>
          <w:w w:val="100"/>
          <w:sz w:val="36"/>
          <w:szCs w:val="36"/>
          <w:vertAlign w:val="baseline"/>
          <w:lang w:val="en-US"/>
        </w:rPr>
        <w:t> </w:t>
      </w:r>
      <w:r>
        <w:rPr>
          <w:rFonts w:hint="eastAsia" w:ascii="仿宋_GB2312" w:eastAsia="仿宋_GB2312" w:cs="仿宋_GB2312"/>
          <w:b/>
          <w:bCs/>
          <w:i w:val="0"/>
          <w:iCs w:val="0"/>
          <w:color w:val="000000"/>
          <w:spacing w:val="0"/>
          <w:w w:val="100"/>
          <w:sz w:val="36"/>
          <w:szCs w:val="36"/>
          <w:vertAlign w:val="baseline"/>
          <w:lang w:val="en-US" w:eastAsia="zh-CN"/>
        </w:rPr>
        <w:t>（双方依法签订）</w:t>
      </w:r>
    </w:p>
    <w:p w14:paraId="432A1B55">
      <w:pPr>
        <w:rPr>
          <w:rFonts w:hint="eastAsia"/>
          <w:b/>
          <w:sz w:val="28"/>
        </w:rPr>
      </w:pPr>
      <w:bookmarkStart w:id="53" w:name="_Toc17979"/>
      <w:r>
        <w:rPr>
          <w:rFonts w:hint="eastAsia"/>
          <w:b/>
          <w:sz w:val="28"/>
        </w:rPr>
        <w:br w:type="page"/>
      </w:r>
    </w:p>
    <w:p w14:paraId="16513FD3">
      <w:pPr>
        <w:widowControl/>
        <w:jc w:val="center"/>
        <w:outlineLvl w:val="0"/>
        <w:rPr>
          <w:b/>
          <w:sz w:val="28"/>
        </w:rPr>
      </w:pPr>
      <w:r>
        <w:rPr>
          <w:rFonts w:hint="eastAsia"/>
          <w:b/>
          <w:sz w:val="28"/>
        </w:rPr>
        <w:t>第六章  响应文件格式</w:t>
      </w:r>
      <w:bookmarkEnd w:id="53"/>
    </w:p>
    <w:p w14:paraId="4D70AF32">
      <w:pPr>
        <w:spacing w:line="900" w:lineRule="exact"/>
        <w:jc w:val="center"/>
        <w:rPr>
          <w:rFonts w:hint="eastAsia" w:eastAsia="宋体"/>
          <w:b/>
          <w:sz w:val="72"/>
          <w:lang w:eastAsia="zh-CN"/>
        </w:rPr>
      </w:pPr>
      <w:r>
        <w:rPr>
          <w:rFonts w:hint="eastAsia"/>
          <w:b/>
          <w:sz w:val="32"/>
        </w:rPr>
        <w:t xml:space="preserve"> </w:t>
      </w:r>
      <w:r>
        <w:rPr>
          <w:rFonts w:hint="eastAsia"/>
          <w:b/>
          <w:sz w:val="32"/>
          <w:lang w:eastAsia="zh-CN"/>
        </w:rPr>
        <w:t>肥西县住建局2025-2026年度勘察设计咨询服务单位[二次]</w:t>
      </w:r>
    </w:p>
    <w:p w14:paraId="57E3CBBD">
      <w:pPr>
        <w:spacing w:line="900" w:lineRule="exact"/>
        <w:jc w:val="center"/>
        <w:outlineLvl w:val="2"/>
        <w:rPr>
          <w:b/>
          <w:sz w:val="72"/>
        </w:rPr>
      </w:pPr>
      <w:r>
        <w:rPr>
          <w:rFonts w:hint="eastAsia"/>
          <w:b/>
          <w:sz w:val="72"/>
        </w:rPr>
        <w:t>响</w:t>
      </w:r>
    </w:p>
    <w:p w14:paraId="427DE069">
      <w:pPr>
        <w:spacing w:line="900" w:lineRule="exact"/>
        <w:jc w:val="center"/>
        <w:rPr>
          <w:b/>
          <w:sz w:val="72"/>
        </w:rPr>
      </w:pPr>
    </w:p>
    <w:p w14:paraId="7AB515E1">
      <w:pPr>
        <w:spacing w:line="900" w:lineRule="exact"/>
        <w:jc w:val="center"/>
        <w:outlineLvl w:val="2"/>
        <w:rPr>
          <w:b/>
          <w:sz w:val="72"/>
        </w:rPr>
      </w:pPr>
      <w:r>
        <w:rPr>
          <w:rFonts w:hint="eastAsia"/>
          <w:b/>
          <w:sz w:val="72"/>
        </w:rPr>
        <w:t>应</w:t>
      </w:r>
    </w:p>
    <w:p w14:paraId="222C497C">
      <w:pPr>
        <w:spacing w:line="900" w:lineRule="exact"/>
        <w:jc w:val="center"/>
        <w:rPr>
          <w:b/>
          <w:sz w:val="72"/>
        </w:rPr>
      </w:pPr>
    </w:p>
    <w:p w14:paraId="43E1420B">
      <w:pPr>
        <w:spacing w:line="900" w:lineRule="exact"/>
        <w:jc w:val="center"/>
        <w:outlineLvl w:val="2"/>
        <w:rPr>
          <w:b/>
          <w:sz w:val="72"/>
        </w:rPr>
      </w:pPr>
      <w:r>
        <w:rPr>
          <w:rFonts w:hint="eastAsia"/>
          <w:b/>
          <w:sz w:val="72"/>
        </w:rPr>
        <w:t>文</w:t>
      </w:r>
    </w:p>
    <w:p w14:paraId="345FBBB0">
      <w:pPr>
        <w:spacing w:line="900" w:lineRule="exact"/>
        <w:jc w:val="center"/>
        <w:rPr>
          <w:b/>
          <w:sz w:val="72"/>
        </w:rPr>
      </w:pPr>
    </w:p>
    <w:p w14:paraId="58E870D9">
      <w:pPr>
        <w:jc w:val="center"/>
        <w:outlineLvl w:val="2"/>
        <w:rPr>
          <w:b/>
          <w:sz w:val="72"/>
        </w:rPr>
      </w:pPr>
      <w:r>
        <w:rPr>
          <w:rFonts w:hint="eastAsia"/>
          <w:b/>
          <w:sz w:val="72"/>
        </w:rPr>
        <w:t>件</w:t>
      </w:r>
    </w:p>
    <w:p w14:paraId="757BD135">
      <w:pPr>
        <w:spacing w:after="156" w:afterLines="50"/>
        <w:jc w:val="center"/>
        <w:rPr>
          <w:b/>
          <w:sz w:val="72"/>
        </w:rPr>
      </w:pPr>
    </w:p>
    <w:p w14:paraId="183700B7">
      <w:pPr>
        <w:spacing w:after="156" w:afterLines="50" w:line="500" w:lineRule="exact"/>
        <w:jc w:val="center"/>
        <w:rPr>
          <w:b/>
          <w:sz w:val="28"/>
          <w:szCs w:val="28"/>
        </w:rPr>
      </w:pPr>
    </w:p>
    <w:p w14:paraId="00FC3893">
      <w:pPr>
        <w:spacing w:after="156" w:afterLines="50" w:line="500" w:lineRule="exact"/>
        <w:jc w:val="center"/>
        <w:rPr>
          <w:b/>
          <w:sz w:val="72"/>
        </w:rPr>
      </w:pPr>
    </w:p>
    <w:p w14:paraId="10317E65">
      <w:pPr>
        <w:spacing w:after="156" w:afterLines="50" w:line="500" w:lineRule="exact"/>
        <w:ind w:firstLine="2522" w:firstLineChars="785"/>
        <w:rPr>
          <w:b/>
          <w:sz w:val="32"/>
          <w:u w:val="single"/>
        </w:rPr>
      </w:pPr>
      <w:r>
        <w:rPr>
          <w:rFonts w:hint="eastAsia"/>
          <w:b/>
          <w:sz w:val="32"/>
        </w:rPr>
        <w:t>供应商：</w:t>
      </w:r>
      <w:r>
        <w:rPr>
          <w:rFonts w:hint="eastAsia"/>
          <w:b/>
          <w:sz w:val="32"/>
          <w:u w:val="single"/>
        </w:rPr>
        <w:t xml:space="preserve">               </w:t>
      </w:r>
    </w:p>
    <w:p w14:paraId="34C9E10F">
      <w:pPr>
        <w:spacing w:after="156" w:afterLines="50" w:line="500" w:lineRule="exact"/>
        <w:jc w:val="center"/>
        <w:rPr>
          <w:b/>
          <w:sz w:val="32"/>
        </w:rPr>
      </w:pPr>
      <w:r>
        <w:rPr>
          <w:rFonts w:hint="eastAsia"/>
          <w:b/>
          <w:sz w:val="32"/>
          <w:u w:val="single"/>
        </w:rPr>
        <w:t xml:space="preserve">    </w:t>
      </w:r>
      <w:bookmarkStart w:id="54" w:name="_Toc4607"/>
      <w:bookmarkStart w:id="55" w:name="_Toc9980"/>
      <w:bookmarkStart w:id="56" w:name="_Toc14428"/>
      <w:bookmarkStart w:id="57" w:name="_Toc328"/>
      <w:r>
        <w:rPr>
          <w:rFonts w:hint="eastAsia"/>
          <w:b/>
          <w:sz w:val="32"/>
        </w:rPr>
        <w:t>年</w:t>
      </w:r>
      <w:r>
        <w:rPr>
          <w:rFonts w:hint="eastAsia"/>
          <w:b/>
          <w:sz w:val="32"/>
          <w:u w:val="single"/>
        </w:rPr>
        <w:t xml:space="preserve">  </w:t>
      </w:r>
      <w:r>
        <w:rPr>
          <w:rFonts w:hint="eastAsia"/>
          <w:b/>
          <w:sz w:val="32"/>
        </w:rPr>
        <w:t>月</w:t>
      </w:r>
      <w:r>
        <w:rPr>
          <w:rFonts w:hint="eastAsia"/>
          <w:b/>
          <w:sz w:val="32"/>
          <w:u w:val="single"/>
        </w:rPr>
        <w:t xml:space="preserve">  </w:t>
      </w:r>
      <w:r>
        <w:rPr>
          <w:rFonts w:hint="eastAsia"/>
          <w:b/>
          <w:sz w:val="32"/>
        </w:rPr>
        <w:t>日</w:t>
      </w:r>
      <w:bookmarkEnd w:id="54"/>
      <w:bookmarkEnd w:id="55"/>
      <w:bookmarkEnd w:id="56"/>
      <w:bookmarkEnd w:id="57"/>
    </w:p>
    <w:p w14:paraId="42B14449">
      <w:pPr>
        <w:widowControl/>
        <w:jc w:val="center"/>
        <w:rPr>
          <w:b/>
          <w:sz w:val="24"/>
        </w:rPr>
      </w:pPr>
      <w:r>
        <w:rPr>
          <w:b/>
          <w:sz w:val="28"/>
        </w:rPr>
        <w:br w:type="page"/>
      </w:r>
      <w:bookmarkStart w:id="58" w:name="_Toc461053086"/>
      <w:bookmarkStart w:id="59" w:name="_Toc461056631"/>
      <w:bookmarkStart w:id="60" w:name="_Toc520983587"/>
      <w:r>
        <w:rPr>
          <w:rFonts w:hint="eastAsia"/>
          <w:b/>
          <w:sz w:val="24"/>
        </w:rPr>
        <w:t>一</w:t>
      </w:r>
      <w:bookmarkEnd w:id="58"/>
      <w:bookmarkEnd w:id="59"/>
      <w:r>
        <w:rPr>
          <w:rFonts w:hint="eastAsia"/>
          <w:b/>
          <w:sz w:val="24"/>
        </w:rPr>
        <w:t>、报价表格式</w:t>
      </w:r>
      <w:bookmarkEnd w:id="60"/>
    </w:p>
    <w:p w14:paraId="6DD350BC">
      <w:pPr>
        <w:spacing w:before="156" w:beforeLines="50" w:after="156" w:afterLines="50" w:line="360" w:lineRule="auto"/>
        <w:jc w:val="center"/>
        <w:outlineLvl w:val="2"/>
        <w:rPr>
          <w:rFonts w:cs="@仿宋_GB2312"/>
          <w:b/>
          <w:kern w:val="2"/>
          <w:sz w:val="24"/>
          <w:szCs w:val="24"/>
        </w:rPr>
      </w:pPr>
      <w:r>
        <w:rPr>
          <w:rFonts w:hint="eastAsia" w:cs="@仿宋_GB2312"/>
          <w:b/>
          <w:kern w:val="2"/>
          <w:sz w:val="24"/>
          <w:szCs w:val="24"/>
        </w:rPr>
        <w:t>1-1 报价表</w:t>
      </w:r>
    </w:p>
    <w:p w14:paraId="20971534">
      <w:pPr>
        <w:snapToGrid w:val="0"/>
        <w:spacing w:line="360" w:lineRule="auto"/>
        <w:jc w:val="left"/>
        <w:rPr>
          <w:rFonts w:cs="宋体"/>
          <w:b/>
          <w:kern w:val="2"/>
          <w:sz w:val="24"/>
          <w:szCs w:val="24"/>
        </w:rPr>
      </w:pPr>
      <w:r>
        <w:rPr>
          <w:rFonts w:hint="eastAsia" w:cs="宋体"/>
          <w:b/>
          <w:kern w:val="2"/>
          <w:sz w:val="24"/>
          <w:szCs w:val="24"/>
        </w:rPr>
        <w:t>项目名称：</w:t>
      </w:r>
      <w:r>
        <w:rPr>
          <w:rFonts w:hint="eastAsia" w:cs="宋体"/>
          <w:b/>
          <w:kern w:val="2"/>
          <w:sz w:val="24"/>
          <w:szCs w:val="24"/>
          <w:u w:val="single"/>
        </w:rPr>
        <w:t xml:space="preserve"> </w:t>
      </w:r>
      <w:r>
        <w:rPr>
          <w:rFonts w:hint="eastAsia" w:cs="宋体"/>
          <w:b/>
          <w:kern w:val="2"/>
          <w:sz w:val="24"/>
          <w:szCs w:val="24"/>
          <w:u w:val="single"/>
          <w:lang w:eastAsia="zh-CN"/>
        </w:rPr>
        <w:t>肥西县住建局2025-2026年度勘察设计咨询服务单位[二次]</w:t>
      </w:r>
      <w:r>
        <w:rPr>
          <w:rFonts w:hint="eastAsia" w:cs="宋体"/>
          <w:b/>
          <w:kern w:val="2"/>
          <w:sz w:val="24"/>
          <w:szCs w:val="24"/>
          <w:u w:val="single"/>
        </w:rPr>
        <w:t xml:space="preserve"> </w:t>
      </w:r>
    </w:p>
    <w:p w14:paraId="21EF1910">
      <w:pPr>
        <w:snapToGrid w:val="0"/>
        <w:spacing w:after="156" w:afterLines="50" w:line="360" w:lineRule="auto"/>
        <w:jc w:val="left"/>
        <w:rPr>
          <w:rFonts w:hint="default" w:cs="宋体"/>
          <w:b/>
          <w:bCs/>
          <w:kern w:val="2"/>
          <w:sz w:val="24"/>
          <w:szCs w:val="24"/>
          <w:u w:val="single"/>
          <w:lang w:val="en-US"/>
        </w:rPr>
      </w:pPr>
      <w:r>
        <w:rPr>
          <w:rFonts w:hint="eastAsia" w:cs="宋体"/>
          <w:b/>
          <w:kern w:val="2"/>
          <w:sz w:val="24"/>
          <w:szCs w:val="24"/>
        </w:rPr>
        <w:t>项目</w:t>
      </w:r>
      <w:r>
        <w:rPr>
          <w:rFonts w:hint="eastAsia" w:cs="宋体"/>
          <w:b/>
          <w:kern w:val="2"/>
          <w:sz w:val="24"/>
          <w:szCs w:val="24"/>
          <w:lang w:val="en-US" w:eastAsia="zh-CN"/>
        </w:rPr>
        <w:t>及包别</w:t>
      </w:r>
      <w:r>
        <w:rPr>
          <w:rFonts w:hint="eastAsia" w:cs="宋体"/>
          <w:b/>
          <w:kern w:val="2"/>
          <w:sz w:val="24"/>
          <w:szCs w:val="24"/>
        </w:rPr>
        <w:t>编号：</w:t>
      </w:r>
      <w:r>
        <w:rPr>
          <w:rFonts w:hint="eastAsia" w:cs="宋体"/>
          <w:b/>
          <w:kern w:val="2"/>
          <w:sz w:val="24"/>
          <w:szCs w:val="24"/>
          <w:u w:val="single"/>
          <w:lang w:eastAsia="zh-CN"/>
        </w:rPr>
        <w:t>2025PHBN418</w:t>
      </w:r>
      <w:r>
        <w:rPr>
          <w:rFonts w:hint="eastAsia" w:cs="宋体"/>
          <w:b/>
          <w:kern w:val="2"/>
          <w:sz w:val="24"/>
          <w:szCs w:val="24"/>
          <w:u w:val="single"/>
          <w:lang w:val="en-US" w:eastAsia="zh-CN"/>
        </w:rPr>
        <w:t>-1</w:t>
      </w: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9"/>
        <w:gridCol w:w="6063"/>
      </w:tblGrid>
      <w:tr w14:paraId="3A896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14E90619">
            <w:pPr>
              <w:jc w:val="center"/>
              <w:rPr>
                <w:rFonts w:cs="宋体"/>
                <w:b/>
                <w:kern w:val="2"/>
                <w:sz w:val="24"/>
                <w:szCs w:val="24"/>
              </w:rPr>
            </w:pPr>
            <w:r>
              <w:rPr>
                <w:rFonts w:hint="eastAsia" w:cs="宋体"/>
                <w:b/>
                <w:kern w:val="2"/>
                <w:sz w:val="24"/>
                <w:szCs w:val="24"/>
              </w:rPr>
              <w:t>供应商名称</w:t>
            </w:r>
          </w:p>
        </w:tc>
        <w:tc>
          <w:tcPr>
            <w:tcW w:w="6063" w:type="dxa"/>
            <w:tcBorders>
              <w:left w:val="single" w:color="auto" w:sz="4" w:space="0"/>
            </w:tcBorders>
          </w:tcPr>
          <w:p w14:paraId="6C14BC14">
            <w:pPr>
              <w:rPr>
                <w:rFonts w:cs="宋体"/>
                <w:b/>
                <w:kern w:val="2"/>
                <w:sz w:val="24"/>
                <w:szCs w:val="24"/>
              </w:rPr>
            </w:pPr>
          </w:p>
        </w:tc>
      </w:tr>
      <w:tr w14:paraId="5A2A0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2459" w:type="dxa"/>
            <w:tcBorders>
              <w:top w:val="single" w:color="auto" w:sz="4" w:space="0"/>
              <w:left w:val="single" w:color="auto" w:sz="4" w:space="0"/>
              <w:bottom w:val="single" w:color="auto" w:sz="4" w:space="0"/>
              <w:right w:val="single" w:color="auto" w:sz="4" w:space="0"/>
            </w:tcBorders>
            <w:vAlign w:val="center"/>
          </w:tcPr>
          <w:p w14:paraId="6405F01C">
            <w:pPr>
              <w:jc w:val="center"/>
              <w:rPr>
                <w:rFonts w:cs="宋体"/>
                <w:b/>
                <w:kern w:val="2"/>
                <w:sz w:val="24"/>
                <w:szCs w:val="24"/>
              </w:rPr>
            </w:pPr>
            <w:r>
              <w:rPr>
                <w:rFonts w:hint="eastAsia" w:cs="宋体"/>
                <w:b/>
                <w:bCs/>
                <w:kern w:val="2"/>
                <w:sz w:val="24"/>
                <w:szCs w:val="24"/>
              </w:rPr>
              <w:t>磋商</w:t>
            </w:r>
            <w:r>
              <w:rPr>
                <w:rFonts w:hint="eastAsia" w:cs="宋体"/>
                <w:b/>
                <w:kern w:val="2"/>
                <w:sz w:val="24"/>
                <w:szCs w:val="24"/>
              </w:rPr>
              <w:t>范围</w:t>
            </w:r>
          </w:p>
        </w:tc>
        <w:tc>
          <w:tcPr>
            <w:tcW w:w="6063" w:type="dxa"/>
            <w:tcBorders>
              <w:left w:val="single" w:color="auto" w:sz="4" w:space="0"/>
            </w:tcBorders>
            <w:vAlign w:val="center"/>
          </w:tcPr>
          <w:p w14:paraId="656E3E7F">
            <w:pPr>
              <w:widowControl/>
              <w:rPr>
                <w:rFonts w:cs="宋体"/>
                <w:b/>
                <w:kern w:val="2"/>
                <w:sz w:val="24"/>
                <w:szCs w:val="24"/>
              </w:rPr>
            </w:pPr>
            <w:r>
              <w:rPr>
                <w:rFonts w:hint="eastAsia" w:cs="@仿宋_GB2312"/>
                <w:kern w:val="2"/>
                <w:sz w:val="24"/>
                <w:szCs w:val="28"/>
              </w:rPr>
              <w:t xml:space="preserve">全部 </w:t>
            </w:r>
          </w:p>
        </w:tc>
      </w:tr>
      <w:tr w14:paraId="0A63D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jc w:val="center"/>
        </w:trPr>
        <w:tc>
          <w:tcPr>
            <w:tcW w:w="2459" w:type="dxa"/>
            <w:tcBorders>
              <w:top w:val="single" w:color="auto" w:sz="4" w:space="0"/>
            </w:tcBorders>
            <w:vAlign w:val="center"/>
          </w:tcPr>
          <w:p w14:paraId="6F44E252">
            <w:pPr>
              <w:spacing w:line="360" w:lineRule="auto"/>
              <w:jc w:val="center"/>
              <w:rPr>
                <w:rFonts w:cs="@仿宋_GB2312"/>
                <w:b/>
                <w:kern w:val="2"/>
                <w:sz w:val="24"/>
              </w:rPr>
            </w:pPr>
            <w:r>
              <w:rPr>
                <w:rFonts w:hint="eastAsia" w:cs="@仿宋_GB2312"/>
                <w:b/>
                <w:kern w:val="2"/>
                <w:sz w:val="24"/>
              </w:rPr>
              <w:t>报价</w:t>
            </w:r>
          </w:p>
          <w:p w14:paraId="6C853156">
            <w:pPr>
              <w:jc w:val="center"/>
              <w:rPr>
                <w:rFonts w:cs="宋体"/>
                <w:b/>
                <w:kern w:val="2"/>
                <w:sz w:val="24"/>
                <w:szCs w:val="24"/>
              </w:rPr>
            </w:pPr>
            <w:r>
              <w:rPr>
                <w:rFonts w:hint="eastAsia" w:cs="宋体"/>
                <w:b/>
                <w:kern w:val="2"/>
                <w:sz w:val="24"/>
                <w:szCs w:val="24"/>
              </w:rPr>
              <w:t>（详见备注说明）</w:t>
            </w:r>
          </w:p>
        </w:tc>
        <w:tc>
          <w:tcPr>
            <w:tcW w:w="6063" w:type="dxa"/>
            <w:vAlign w:val="center"/>
          </w:tcPr>
          <w:p w14:paraId="283CF48C">
            <w:pPr>
              <w:snapToGrid w:val="0"/>
              <w:rPr>
                <w:rFonts w:hint="default" w:eastAsia="宋体" w:cs="宋体"/>
                <w:b/>
                <w:kern w:val="2"/>
                <w:sz w:val="24"/>
                <w:szCs w:val="24"/>
                <w:u w:val="single"/>
                <w:lang w:val="en-US" w:eastAsia="zh-CN"/>
              </w:rPr>
            </w:pPr>
            <w:r>
              <w:rPr>
                <w:rFonts w:hint="eastAsia" w:cs="宋体"/>
                <w:bCs/>
                <w:kern w:val="2"/>
                <w:sz w:val="24"/>
                <w:szCs w:val="24"/>
                <w:lang w:val="en-US" w:eastAsia="zh-CN"/>
              </w:rPr>
              <w:t>费率：</w:t>
            </w:r>
            <w:r>
              <w:rPr>
                <w:rFonts w:hint="eastAsia" w:cs="宋体"/>
                <w:bCs/>
                <w:kern w:val="2"/>
                <w:sz w:val="24"/>
                <w:szCs w:val="24"/>
                <w:u w:val="single"/>
                <w:lang w:val="en-US" w:eastAsia="zh-CN"/>
              </w:rPr>
              <w:t xml:space="preserve">       %</w:t>
            </w:r>
          </w:p>
        </w:tc>
      </w:tr>
      <w:tr w14:paraId="67CAA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2459" w:type="dxa"/>
            <w:tcBorders>
              <w:top w:val="single" w:color="auto" w:sz="4" w:space="0"/>
            </w:tcBorders>
            <w:vAlign w:val="center"/>
          </w:tcPr>
          <w:p w14:paraId="612C5E7C">
            <w:pPr>
              <w:snapToGrid w:val="0"/>
              <w:jc w:val="center"/>
              <w:rPr>
                <w:rFonts w:cs="宋体"/>
                <w:b/>
                <w:kern w:val="2"/>
                <w:sz w:val="24"/>
                <w:szCs w:val="24"/>
              </w:rPr>
            </w:pPr>
            <w:r>
              <w:rPr>
                <w:rFonts w:hint="eastAsia" w:cs="宋体"/>
                <w:b/>
                <w:bCs/>
                <w:kern w:val="2"/>
                <w:sz w:val="24"/>
                <w:szCs w:val="24"/>
              </w:rPr>
              <w:t>质量标准</w:t>
            </w:r>
          </w:p>
        </w:tc>
        <w:tc>
          <w:tcPr>
            <w:tcW w:w="6063" w:type="dxa"/>
            <w:vAlign w:val="center"/>
          </w:tcPr>
          <w:p w14:paraId="661D5A9E">
            <w:pPr>
              <w:snapToGrid w:val="0"/>
              <w:rPr>
                <w:rFonts w:cs="宋体"/>
                <w:b/>
                <w:kern w:val="2"/>
                <w:sz w:val="24"/>
                <w:szCs w:val="24"/>
              </w:rPr>
            </w:pPr>
            <w:r>
              <w:rPr>
                <w:rFonts w:hint="eastAsia" w:cs="宋体"/>
                <w:b/>
                <w:kern w:val="2"/>
                <w:sz w:val="24"/>
                <w:szCs w:val="24"/>
              </w:rPr>
              <w:t>合格</w:t>
            </w:r>
          </w:p>
        </w:tc>
      </w:tr>
      <w:tr w14:paraId="61694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atLeast"/>
          <w:jc w:val="center"/>
        </w:trPr>
        <w:tc>
          <w:tcPr>
            <w:tcW w:w="2459" w:type="dxa"/>
            <w:tcBorders>
              <w:top w:val="single" w:color="auto" w:sz="4" w:space="0"/>
            </w:tcBorders>
            <w:vAlign w:val="center"/>
          </w:tcPr>
          <w:p w14:paraId="3AF121BA">
            <w:pPr>
              <w:snapToGrid w:val="0"/>
              <w:jc w:val="center"/>
              <w:rPr>
                <w:rFonts w:hint="eastAsia" w:eastAsia="宋体" w:cs="宋体"/>
                <w:b/>
                <w:kern w:val="2"/>
                <w:sz w:val="24"/>
                <w:szCs w:val="24"/>
                <w:lang w:val="en-US" w:eastAsia="zh-CN"/>
              </w:rPr>
            </w:pPr>
            <w:r>
              <w:rPr>
                <w:rFonts w:hint="eastAsia" w:cs="宋体"/>
                <w:b/>
                <w:bCs/>
                <w:kern w:val="2"/>
                <w:sz w:val="24"/>
                <w:szCs w:val="24"/>
                <w:lang w:val="en-US" w:eastAsia="zh-CN"/>
              </w:rPr>
              <w:t>服务</w:t>
            </w:r>
            <w:r>
              <w:rPr>
                <w:rFonts w:hint="eastAsia" w:cs="宋体"/>
                <w:b/>
                <w:bCs/>
                <w:kern w:val="2"/>
                <w:sz w:val="24"/>
                <w:szCs w:val="24"/>
              </w:rPr>
              <w:t>期</w:t>
            </w:r>
            <w:r>
              <w:rPr>
                <w:rFonts w:hint="eastAsia" w:cs="宋体"/>
                <w:b/>
                <w:bCs/>
                <w:kern w:val="2"/>
                <w:sz w:val="24"/>
                <w:szCs w:val="24"/>
                <w:lang w:val="en-US" w:eastAsia="zh-CN"/>
              </w:rPr>
              <w:t>限</w:t>
            </w:r>
          </w:p>
        </w:tc>
        <w:tc>
          <w:tcPr>
            <w:tcW w:w="6063" w:type="dxa"/>
            <w:vAlign w:val="center"/>
          </w:tcPr>
          <w:p w14:paraId="052B5998">
            <w:pPr>
              <w:snapToGrid w:val="0"/>
              <w:rPr>
                <w:rFonts w:hint="default" w:eastAsia="宋体" w:cs="宋体"/>
                <w:b/>
                <w:kern w:val="2"/>
                <w:sz w:val="24"/>
                <w:szCs w:val="24"/>
                <w:lang w:val="en-US" w:eastAsia="zh-CN"/>
              </w:rPr>
            </w:pPr>
          </w:p>
        </w:tc>
      </w:tr>
      <w:tr w14:paraId="6CF535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2" w:hRule="atLeast"/>
          <w:jc w:val="center"/>
        </w:trPr>
        <w:tc>
          <w:tcPr>
            <w:tcW w:w="2459" w:type="dxa"/>
            <w:vAlign w:val="center"/>
          </w:tcPr>
          <w:p w14:paraId="67F45987">
            <w:pPr>
              <w:jc w:val="center"/>
              <w:rPr>
                <w:rFonts w:cs="宋体"/>
                <w:b/>
                <w:kern w:val="2"/>
                <w:sz w:val="24"/>
                <w:szCs w:val="24"/>
              </w:rPr>
            </w:pPr>
            <w:r>
              <w:rPr>
                <w:rFonts w:hint="eastAsia" w:cs="宋体"/>
                <w:b/>
                <w:kern w:val="2"/>
                <w:sz w:val="24"/>
                <w:szCs w:val="24"/>
              </w:rPr>
              <w:t>备注说明</w:t>
            </w:r>
          </w:p>
        </w:tc>
        <w:tc>
          <w:tcPr>
            <w:tcW w:w="6063" w:type="dxa"/>
            <w:vAlign w:val="center"/>
          </w:tcPr>
          <w:p w14:paraId="7FAC37BF">
            <w:pPr>
              <w:rPr>
                <w:sz w:val="24"/>
                <w:szCs w:val="18"/>
              </w:rPr>
            </w:pPr>
          </w:p>
        </w:tc>
      </w:tr>
    </w:tbl>
    <w:p w14:paraId="46982C95">
      <w:pPr>
        <w:spacing w:line="440" w:lineRule="exact"/>
        <w:ind w:firstLine="4800" w:firstLineChars="2000"/>
        <w:rPr>
          <w:rFonts w:cs="@仿宋_GB2312"/>
          <w:kern w:val="2"/>
          <w:sz w:val="24"/>
          <w:szCs w:val="24"/>
          <w:u w:val="single"/>
        </w:rPr>
      </w:pPr>
      <w:r>
        <w:rPr>
          <w:rFonts w:hint="eastAsia"/>
          <w:sz w:val="24"/>
        </w:rPr>
        <w:t>供应商</w:t>
      </w:r>
      <w:r>
        <w:rPr>
          <w:rFonts w:hint="eastAsia" w:cs="@仿宋_GB2312"/>
          <w:kern w:val="2"/>
          <w:sz w:val="24"/>
          <w:szCs w:val="24"/>
        </w:rPr>
        <w:t>电子签章：</w:t>
      </w:r>
      <w:r>
        <w:rPr>
          <w:rFonts w:hint="eastAsia" w:cs="@仿宋_GB2312"/>
          <w:kern w:val="2"/>
          <w:sz w:val="24"/>
          <w:szCs w:val="24"/>
          <w:u w:val="single"/>
        </w:rPr>
        <w:t xml:space="preserve">     </w:t>
      </w:r>
      <w:r>
        <w:rPr>
          <w:rFonts w:cs="@仿宋_GB2312"/>
          <w:kern w:val="2"/>
          <w:sz w:val="24"/>
          <w:szCs w:val="24"/>
          <w:u w:val="single"/>
        </w:rPr>
        <w:t xml:space="preserve">    </w:t>
      </w:r>
      <w:r>
        <w:rPr>
          <w:rFonts w:hint="eastAsia" w:cs="@仿宋_GB2312"/>
          <w:kern w:val="2"/>
          <w:sz w:val="24"/>
          <w:szCs w:val="24"/>
          <w:u w:val="single"/>
        </w:rPr>
        <w:t xml:space="preserve">    </w:t>
      </w:r>
    </w:p>
    <w:p w14:paraId="0998181E">
      <w:pPr>
        <w:spacing w:line="440" w:lineRule="exact"/>
        <w:ind w:firstLine="4800" w:firstLineChars="2000"/>
        <w:rPr>
          <w:rFonts w:cs="@仿宋_GB2312"/>
          <w:kern w:val="2"/>
          <w:sz w:val="24"/>
          <w:szCs w:val="24"/>
          <w:u w:val="single"/>
        </w:rPr>
      </w:pPr>
      <w:r>
        <w:rPr>
          <w:rFonts w:hint="eastAsia" w:cs="@仿宋_GB2312"/>
          <w:kern w:val="2"/>
          <w:sz w:val="24"/>
          <w:szCs w:val="24"/>
        </w:rPr>
        <w:t xml:space="preserve">日     </w:t>
      </w:r>
      <w:r>
        <w:rPr>
          <w:rFonts w:cs="@仿宋_GB2312"/>
          <w:kern w:val="2"/>
          <w:sz w:val="24"/>
          <w:szCs w:val="24"/>
        </w:rPr>
        <w:t xml:space="preserve">    </w:t>
      </w:r>
      <w:r>
        <w:rPr>
          <w:rFonts w:hint="eastAsia" w:cs="@仿宋_GB2312"/>
          <w:kern w:val="2"/>
          <w:sz w:val="24"/>
          <w:szCs w:val="24"/>
        </w:rPr>
        <w:t xml:space="preserve"> 期：</w:t>
      </w:r>
      <w:r>
        <w:rPr>
          <w:rFonts w:hint="eastAsia" w:cs="@仿宋_GB2312"/>
          <w:kern w:val="2"/>
          <w:sz w:val="24"/>
          <w:szCs w:val="24"/>
          <w:u w:val="single"/>
        </w:rPr>
        <w:t xml:space="preserve">             </w:t>
      </w:r>
    </w:p>
    <w:p w14:paraId="47085F00">
      <w:pPr>
        <w:adjustRightInd w:val="0"/>
        <w:snapToGrid w:val="0"/>
        <w:spacing w:line="360" w:lineRule="auto"/>
        <w:rPr>
          <w:rFonts w:cs="宋体"/>
          <w:b/>
          <w:bCs/>
          <w:kern w:val="2"/>
          <w:sz w:val="24"/>
          <w:szCs w:val="24"/>
        </w:rPr>
      </w:pPr>
      <w:r>
        <w:rPr>
          <w:rFonts w:hint="eastAsia" w:cs="宋体"/>
          <w:b/>
          <w:bCs/>
          <w:kern w:val="2"/>
          <w:sz w:val="24"/>
          <w:szCs w:val="24"/>
        </w:rPr>
        <w:t>注：</w:t>
      </w:r>
    </w:p>
    <w:p w14:paraId="284B34C8">
      <w:pPr>
        <w:adjustRightInd w:val="0"/>
        <w:snapToGrid w:val="0"/>
        <w:spacing w:line="360" w:lineRule="auto"/>
        <w:ind w:firstLine="482" w:firstLineChars="200"/>
        <w:rPr>
          <w:rFonts w:cs="宋体"/>
          <w:kern w:val="2"/>
          <w:sz w:val="24"/>
          <w:szCs w:val="24"/>
        </w:rPr>
      </w:pPr>
      <w:r>
        <w:rPr>
          <w:rFonts w:hint="eastAsia" w:cs="宋体"/>
          <w:b/>
          <w:bCs/>
          <w:kern w:val="2"/>
          <w:sz w:val="24"/>
          <w:szCs w:val="24"/>
        </w:rPr>
        <w:t>1.本表内容根据磋商文件要求包括了磋商文件要求提供的全部内容的所有费用。</w:t>
      </w:r>
    </w:p>
    <w:p w14:paraId="602FAFC1">
      <w:pPr>
        <w:adjustRightInd w:val="0"/>
        <w:snapToGrid w:val="0"/>
        <w:spacing w:line="360" w:lineRule="auto"/>
        <w:ind w:firstLine="482" w:firstLineChars="200"/>
        <w:rPr>
          <w:rFonts w:cs="宋体"/>
          <w:b/>
          <w:bCs/>
          <w:kern w:val="2"/>
          <w:sz w:val="24"/>
          <w:szCs w:val="24"/>
        </w:rPr>
      </w:pPr>
      <w:r>
        <w:rPr>
          <w:rFonts w:hint="eastAsia" w:cs="宋体"/>
          <w:b/>
          <w:bCs/>
          <w:kern w:val="2"/>
          <w:sz w:val="24"/>
          <w:szCs w:val="24"/>
        </w:rPr>
        <w:t>2.特殊事项在备注中注明。</w:t>
      </w:r>
    </w:p>
    <w:p w14:paraId="58D980FA">
      <w:pPr>
        <w:adjustRightInd w:val="0"/>
        <w:snapToGrid w:val="0"/>
        <w:spacing w:line="360" w:lineRule="auto"/>
        <w:ind w:firstLine="482" w:firstLineChars="200"/>
        <w:rPr>
          <w:rFonts w:cs="宋体"/>
          <w:b/>
          <w:bCs/>
          <w:kern w:val="2"/>
          <w:sz w:val="24"/>
          <w:szCs w:val="24"/>
        </w:rPr>
      </w:pPr>
      <w:r>
        <w:rPr>
          <w:rFonts w:hint="eastAsia" w:cs="@仿宋_GB2312"/>
          <w:b/>
          <w:bCs/>
          <w:kern w:val="2"/>
          <w:sz w:val="24"/>
          <w:szCs w:val="24"/>
        </w:rPr>
        <w:t>3.</w:t>
      </w:r>
      <w:r>
        <w:rPr>
          <w:rFonts w:hint="eastAsia"/>
          <w:b/>
          <w:sz w:val="24"/>
          <w:szCs w:val="18"/>
        </w:rPr>
        <w:t>供应商</w:t>
      </w:r>
      <w:r>
        <w:rPr>
          <w:rFonts w:hint="eastAsia"/>
          <w:b/>
          <w:bCs/>
          <w:sz w:val="24"/>
          <w:szCs w:val="24"/>
        </w:rPr>
        <w:t>填写的唱标信息不作为评审依据。</w:t>
      </w:r>
    </w:p>
    <w:p w14:paraId="337E49CD">
      <w:pPr>
        <w:widowControl/>
        <w:spacing w:line="360" w:lineRule="auto"/>
        <w:ind w:firstLine="482" w:firstLineChars="200"/>
        <w:jc w:val="center"/>
        <w:rPr>
          <w:rFonts w:cs="@仿宋_GB2312"/>
          <w:b/>
          <w:bCs/>
          <w:kern w:val="2"/>
          <w:sz w:val="24"/>
          <w:szCs w:val="24"/>
        </w:rPr>
      </w:pPr>
      <w:r>
        <w:rPr>
          <w:rFonts w:cs="宋体"/>
          <w:b/>
          <w:bCs/>
          <w:kern w:val="2"/>
          <w:sz w:val="24"/>
          <w:szCs w:val="24"/>
        </w:rPr>
        <w:br w:type="page"/>
      </w:r>
      <w:bookmarkStart w:id="61" w:name="_Toc520983591"/>
      <w:r>
        <w:rPr>
          <w:rFonts w:hint="eastAsia"/>
          <w:b/>
          <w:sz w:val="24"/>
        </w:rPr>
        <w:t>二、</w:t>
      </w:r>
      <w:r>
        <w:rPr>
          <w:rFonts w:hint="eastAsia"/>
          <w:b/>
          <w:sz w:val="24"/>
          <w:szCs w:val="18"/>
        </w:rPr>
        <w:t>供应商</w:t>
      </w:r>
      <w:r>
        <w:rPr>
          <w:rFonts w:hint="eastAsia"/>
          <w:b/>
          <w:sz w:val="24"/>
        </w:rPr>
        <w:t>综合情况简介</w:t>
      </w:r>
    </w:p>
    <w:p w14:paraId="469AF0FF">
      <w:pPr>
        <w:spacing w:before="156" w:beforeLines="50" w:after="156" w:afterLines="50" w:line="360" w:lineRule="auto"/>
        <w:ind w:firstLine="235" w:firstLineChars="98"/>
        <w:jc w:val="center"/>
        <w:rPr>
          <w:sz w:val="24"/>
          <w:szCs w:val="28"/>
        </w:rPr>
      </w:pPr>
      <w:r>
        <w:rPr>
          <w:rFonts w:hint="eastAsia"/>
          <w:sz w:val="24"/>
          <w:szCs w:val="28"/>
        </w:rPr>
        <w:t>（</w:t>
      </w:r>
      <w:r>
        <w:rPr>
          <w:rFonts w:hint="eastAsia"/>
          <w:sz w:val="24"/>
        </w:rPr>
        <w:t>供应商</w:t>
      </w:r>
      <w:r>
        <w:rPr>
          <w:rFonts w:hint="eastAsia"/>
          <w:sz w:val="24"/>
          <w:szCs w:val="28"/>
        </w:rPr>
        <w:t>可自行制作格式）</w:t>
      </w:r>
    </w:p>
    <w:p w14:paraId="7039F66A">
      <w:pPr>
        <w:widowControl/>
        <w:jc w:val="center"/>
        <w:rPr>
          <w:b/>
          <w:sz w:val="24"/>
        </w:rPr>
      </w:pPr>
      <w:r>
        <w:rPr>
          <w:b/>
          <w:sz w:val="24"/>
        </w:rPr>
        <w:br w:type="page"/>
      </w:r>
      <w:r>
        <w:rPr>
          <w:rFonts w:hint="eastAsia"/>
          <w:b/>
          <w:sz w:val="24"/>
        </w:rPr>
        <w:t>三、磋商响应函</w:t>
      </w:r>
      <w:bookmarkEnd w:id="61"/>
    </w:p>
    <w:p w14:paraId="5B3E819D">
      <w:pPr>
        <w:spacing w:line="360" w:lineRule="auto"/>
        <w:rPr>
          <w:rFonts w:hint="eastAsia" w:eastAsia="宋体" w:cs="宋体"/>
          <w:b/>
          <w:kern w:val="2"/>
          <w:sz w:val="24"/>
          <w:szCs w:val="24"/>
          <w:u w:val="single"/>
          <w:lang w:eastAsia="zh-CN"/>
        </w:rPr>
      </w:pPr>
      <w:r>
        <w:rPr>
          <w:rFonts w:hint="eastAsia" w:cs="宋体"/>
          <w:b/>
          <w:kern w:val="2"/>
          <w:sz w:val="24"/>
          <w:szCs w:val="24"/>
        </w:rPr>
        <w:t>致：</w:t>
      </w:r>
      <w:r>
        <w:rPr>
          <w:rFonts w:hint="eastAsia" w:cs="宋体"/>
          <w:b/>
          <w:kern w:val="2"/>
          <w:sz w:val="24"/>
          <w:szCs w:val="24"/>
          <w:u w:val="single"/>
          <w:lang w:eastAsia="zh-CN"/>
        </w:rPr>
        <w:t>肥西县住房和城乡建设局</w:t>
      </w:r>
    </w:p>
    <w:p w14:paraId="760AA69D">
      <w:pPr>
        <w:spacing w:line="360" w:lineRule="auto"/>
        <w:ind w:firstLine="482" w:firstLineChars="200"/>
        <w:rPr>
          <w:rFonts w:hint="eastAsia" w:eastAsia="宋体" w:cs="宋体"/>
          <w:b/>
          <w:kern w:val="2"/>
          <w:sz w:val="24"/>
          <w:szCs w:val="24"/>
          <w:lang w:eastAsia="zh-CN"/>
        </w:rPr>
      </w:pPr>
      <w:r>
        <w:rPr>
          <w:rFonts w:hint="eastAsia" w:cs="宋体"/>
          <w:b/>
          <w:sz w:val="24"/>
          <w:szCs w:val="24"/>
          <w:u w:val="single"/>
          <w:lang w:eastAsia="zh-CN"/>
        </w:rPr>
        <w:t>肥西县派合商务服务有限公司</w:t>
      </w:r>
    </w:p>
    <w:p w14:paraId="3D99D7A0">
      <w:pPr>
        <w:spacing w:line="360" w:lineRule="auto"/>
        <w:ind w:firstLine="480" w:firstLineChars="200"/>
        <w:rPr>
          <w:rFonts w:cs="宋体"/>
          <w:kern w:val="2"/>
          <w:sz w:val="24"/>
          <w:szCs w:val="24"/>
        </w:rPr>
      </w:pPr>
      <w:r>
        <w:rPr>
          <w:rFonts w:hint="eastAsia" w:cs="宋体"/>
          <w:kern w:val="2"/>
          <w:sz w:val="24"/>
          <w:szCs w:val="24"/>
        </w:rPr>
        <w:t>根据贵方的磋商公告和磋商邀请，我方兹宣布同意如下：</w:t>
      </w:r>
    </w:p>
    <w:p w14:paraId="48474B59">
      <w:pPr>
        <w:spacing w:line="360" w:lineRule="auto"/>
        <w:ind w:firstLine="480" w:firstLineChars="200"/>
        <w:rPr>
          <w:rFonts w:cs="@仿宋_GB2312"/>
          <w:kern w:val="2"/>
          <w:sz w:val="24"/>
          <w:szCs w:val="24"/>
        </w:rPr>
      </w:pPr>
      <w:r>
        <w:rPr>
          <w:rFonts w:hint="eastAsia" w:cs="@仿宋_GB2312"/>
          <w:kern w:val="2"/>
          <w:sz w:val="24"/>
          <w:szCs w:val="24"/>
        </w:rPr>
        <w:t>1.按项目磋商文件规定提供服务的报价见报价表，如确定我方为成交人，我方承诺愿意按项目磋商文件规定缴纳代理代理服务费，如不交纳代理服务费，我公司愿意承担违约责任。</w:t>
      </w:r>
    </w:p>
    <w:p w14:paraId="6600297D">
      <w:pPr>
        <w:spacing w:line="360" w:lineRule="auto"/>
        <w:ind w:firstLine="480" w:firstLineChars="200"/>
        <w:rPr>
          <w:rFonts w:cs="@仿宋_GB2312"/>
          <w:kern w:val="2"/>
          <w:sz w:val="24"/>
          <w:szCs w:val="24"/>
        </w:rPr>
      </w:pPr>
      <w:r>
        <w:rPr>
          <w:rFonts w:hint="eastAsia" w:cs="@仿宋_GB2312"/>
          <w:kern w:val="2"/>
          <w:sz w:val="24"/>
          <w:szCs w:val="24"/>
        </w:rPr>
        <w:t>2.我方根据项目磋商文件的规定，严格履行合同的责任和义务,并保证于项目单位要求的日期内完成服务工作，并通过项目单位验收。</w:t>
      </w:r>
    </w:p>
    <w:p w14:paraId="122D3E4C">
      <w:pPr>
        <w:spacing w:line="360" w:lineRule="auto"/>
        <w:ind w:firstLine="480" w:firstLineChars="200"/>
        <w:rPr>
          <w:rFonts w:cs="@仿宋_GB2312"/>
          <w:kern w:val="2"/>
          <w:sz w:val="24"/>
          <w:szCs w:val="24"/>
        </w:rPr>
      </w:pPr>
      <w:r>
        <w:rPr>
          <w:rFonts w:hint="eastAsia" w:cs="@仿宋_GB2312"/>
          <w:kern w:val="2"/>
          <w:sz w:val="24"/>
          <w:szCs w:val="24"/>
        </w:rPr>
        <w:t>3.我方已详细审核全部项目磋商文件，包括项目磋商文件的澄清或修改（如有），参考资料及有关附件，我方正式认可并遵守本次项目磋商文件，并对项目磋商文件各项条款、规定及要求均无异议。</w:t>
      </w:r>
    </w:p>
    <w:p w14:paraId="54951068">
      <w:pPr>
        <w:spacing w:line="360" w:lineRule="auto"/>
        <w:ind w:firstLine="480" w:firstLineChars="200"/>
        <w:rPr>
          <w:rFonts w:cs="@仿宋_GB2312"/>
          <w:kern w:val="2"/>
          <w:sz w:val="24"/>
          <w:szCs w:val="24"/>
        </w:rPr>
      </w:pPr>
      <w:r>
        <w:rPr>
          <w:rFonts w:hint="eastAsia" w:cs="@仿宋_GB2312"/>
          <w:kern w:val="2"/>
          <w:sz w:val="24"/>
          <w:szCs w:val="24"/>
        </w:rPr>
        <w:t>4.我方同意从项目磋商文件规定的评审日期起遵循本项目磋商文件，并在项目磋商文件规定的合同签订前均具有约束力。</w:t>
      </w:r>
    </w:p>
    <w:p w14:paraId="027F230A">
      <w:pPr>
        <w:spacing w:line="360" w:lineRule="auto"/>
        <w:ind w:firstLine="480" w:firstLineChars="200"/>
        <w:rPr>
          <w:rFonts w:cs="@仿宋_GB2312"/>
          <w:kern w:val="2"/>
          <w:sz w:val="24"/>
          <w:szCs w:val="24"/>
        </w:rPr>
      </w:pPr>
      <w:r>
        <w:rPr>
          <w:rFonts w:hint="eastAsia" w:cs="@仿宋_GB2312"/>
          <w:kern w:val="2"/>
          <w:sz w:val="24"/>
          <w:szCs w:val="24"/>
        </w:rPr>
        <w:t>5.我方声明文件所提供的一切资料均真实无误、及时、有效，企业运营正常。由于我方提供资料不实而造成的责任和后果由我方承担。我方同意按照贵方提出的要求，提供与有关的任何证据、数据或资料。</w:t>
      </w:r>
    </w:p>
    <w:p w14:paraId="1CF25042">
      <w:pPr>
        <w:spacing w:line="360" w:lineRule="auto"/>
        <w:ind w:firstLine="480" w:firstLineChars="200"/>
        <w:rPr>
          <w:rFonts w:cs="宋体"/>
          <w:kern w:val="2"/>
          <w:sz w:val="24"/>
          <w:szCs w:val="24"/>
        </w:rPr>
      </w:pPr>
      <w:r>
        <w:rPr>
          <w:rFonts w:hint="eastAsia" w:cs="@仿宋_GB2312"/>
          <w:kern w:val="2"/>
          <w:sz w:val="24"/>
          <w:szCs w:val="24"/>
        </w:rPr>
        <w:t>6.我方完全理解贵方不一定接受最低的报价。</w:t>
      </w:r>
    </w:p>
    <w:p w14:paraId="0326A306">
      <w:pPr>
        <w:spacing w:line="360" w:lineRule="auto"/>
        <w:ind w:firstLine="480" w:firstLineChars="200"/>
        <w:rPr>
          <w:rFonts w:cs="宋体"/>
          <w:kern w:val="2"/>
          <w:sz w:val="24"/>
          <w:szCs w:val="24"/>
          <w:u w:val="single"/>
        </w:rPr>
      </w:pPr>
      <w:r>
        <w:rPr>
          <w:rFonts w:cs="宋体"/>
          <w:kern w:val="2"/>
          <w:sz w:val="24"/>
          <w:szCs w:val="24"/>
        </w:rPr>
        <w:t>12</w:t>
      </w:r>
      <w:r>
        <w:rPr>
          <w:rFonts w:hint="eastAsia" w:cs="宋体"/>
          <w:kern w:val="2"/>
          <w:sz w:val="24"/>
          <w:szCs w:val="24"/>
        </w:rPr>
        <w:t>.其他补充说明：</w:t>
      </w:r>
      <w:r>
        <w:rPr>
          <w:rFonts w:hint="eastAsia" w:cs="宋体"/>
          <w:kern w:val="2"/>
          <w:sz w:val="24"/>
          <w:szCs w:val="24"/>
          <w:u w:val="single"/>
        </w:rPr>
        <w:t>补充说明事项（如有）</w:t>
      </w:r>
    </w:p>
    <w:p w14:paraId="22D2199D">
      <w:pPr>
        <w:spacing w:line="360" w:lineRule="auto"/>
        <w:ind w:right="480" w:firstLine="3120" w:firstLineChars="1300"/>
        <w:rPr>
          <w:rFonts w:cs="宋体"/>
          <w:kern w:val="2"/>
          <w:sz w:val="24"/>
          <w:szCs w:val="24"/>
        </w:rPr>
      </w:pPr>
      <w:r>
        <w:rPr>
          <w:rFonts w:hint="eastAsia"/>
          <w:sz w:val="24"/>
        </w:rPr>
        <w:t>供应商</w:t>
      </w:r>
      <w:r>
        <w:rPr>
          <w:rFonts w:hint="eastAsia" w:cs="宋体"/>
          <w:kern w:val="2"/>
          <w:sz w:val="24"/>
          <w:szCs w:val="24"/>
        </w:rPr>
        <w:t>电子签章：</w:t>
      </w:r>
      <w:r>
        <w:rPr>
          <w:rFonts w:hint="eastAsia" w:cs="宋体"/>
          <w:kern w:val="2"/>
          <w:sz w:val="24"/>
          <w:szCs w:val="24"/>
          <w:u w:val="single"/>
        </w:rPr>
        <w:t xml:space="preserve">                   </w:t>
      </w:r>
    </w:p>
    <w:p w14:paraId="0FED0AF3">
      <w:pPr>
        <w:spacing w:line="360" w:lineRule="auto"/>
        <w:ind w:right="480" w:firstLine="3120" w:firstLineChars="1300"/>
        <w:rPr>
          <w:rFonts w:cs="宋体"/>
          <w:kern w:val="2"/>
          <w:sz w:val="24"/>
          <w:szCs w:val="24"/>
          <w:u w:val="single"/>
        </w:rPr>
      </w:pPr>
      <w:r>
        <w:rPr>
          <w:rFonts w:hint="eastAsia" w:cs="宋体"/>
          <w:kern w:val="2"/>
          <w:sz w:val="24"/>
          <w:szCs w:val="24"/>
        </w:rPr>
        <w:t>日          期：</w:t>
      </w:r>
      <w:r>
        <w:rPr>
          <w:rFonts w:hint="eastAsia" w:cs="宋体"/>
          <w:kern w:val="2"/>
          <w:sz w:val="24"/>
          <w:szCs w:val="24"/>
          <w:u w:val="single"/>
        </w:rPr>
        <w:t xml:space="preserve">                   </w:t>
      </w:r>
    </w:p>
    <w:p w14:paraId="0EC650F8">
      <w:pPr>
        <w:widowControl/>
        <w:jc w:val="center"/>
        <w:rPr>
          <w:sz w:val="24"/>
          <w:szCs w:val="24"/>
        </w:rPr>
      </w:pPr>
      <w:r>
        <w:rPr>
          <w:sz w:val="24"/>
        </w:rPr>
        <w:br w:type="page"/>
      </w:r>
      <w:bookmarkStart w:id="62" w:name="_Toc520983592"/>
      <w:r>
        <w:rPr>
          <w:rFonts w:hint="eastAsia"/>
          <w:b/>
          <w:sz w:val="24"/>
        </w:rPr>
        <w:t>四、不良信用记录</w:t>
      </w:r>
      <w:bookmarkEnd w:id="62"/>
    </w:p>
    <w:p w14:paraId="3FBD8163">
      <w:pPr>
        <w:spacing w:line="360" w:lineRule="auto"/>
        <w:ind w:firstLine="3840" w:firstLineChars="1600"/>
        <w:rPr>
          <w:rFonts w:cs="宋体"/>
          <w:sz w:val="24"/>
          <w:szCs w:val="24"/>
        </w:rPr>
      </w:pPr>
    </w:p>
    <w:p w14:paraId="33B8D5F4">
      <w:pPr>
        <w:spacing w:line="440" w:lineRule="exact"/>
        <w:ind w:firstLine="4800" w:firstLineChars="2000"/>
        <w:rPr>
          <w:sz w:val="24"/>
          <w:szCs w:val="24"/>
          <w:u w:val="single"/>
        </w:rPr>
      </w:pPr>
    </w:p>
    <w:p w14:paraId="46AEF5BA">
      <w:pPr>
        <w:spacing w:line="440" w:lineRule="exact"/>
        <w:ind w:firstLine="4800" w:firstLineChars="2000"/>
        <w:rPr>
          <w:sz w:val="24"/>
          <w:szCs w:val="24"/>
          <w:u w:val="single"/>
        </w:rPr>
      </w:pPr>
    </w:p>
    <w:p w14:paraId="40B5AD4D">
      <w:pPr>
        <w:widowControl/>
        <w:jc w:val="center"/>
        <w:rPr>
          <w:b/>
          <w:sz w:val="24"/>
        </w:rPr>
      </w:pPr>
      <w:r>
        <w:rPr>
          <w:sz w:val="24"/>
        </w:rPr>
        <w:br w:type="page"/>
      </w:r>
      <w:bookmarkStart w:id="63" w:name="_Toc516969106"/>
      <w:bookmarkStart w:id="64" w:name="_Toc204594911"/>
      <w:bookmarkStart w:id="65" w:name="_Toc520983594"/>
      <w:bookmarkStart w:id="66" w:name="_Toc121626298"/>
      <w:r>
        <w:rPr>
          <w:rFonts w:hint="eastAsia"/>
          <w:b/>
          <w:sz w:val="24"/>
        </w:rPr>
        <w:t>五、授权书</w:t>
      </w:r>
      <w:bookmarkEnd w:id="63"/>
      <w:bookmarkEnd w:id="64"/>
      <w:bookmarkEnd w:id="65"/>
      <w:bookmarkEnd w:id="66"/>
    </w:p>
    <w:p w14:paraId="1ABC003D">
      <w:pPr>
        <w:spacing w:line="360" w:lineRule="auto"/>
        <w:jc w:val="center"/>
        <w:rPr>
          <w:b/>
          <w:sz w:val="24"/>
        </w:rPr>
      </w:pPr>
    </w:p>
    <w:p w14:paraId="4E4429B5">
      <w:pPr>
        <w:pStyle w:val="9"/>
        <w:snapToGrid w:val="0"/>
        <w:spacing w:line="360" w:lineRule="auto"/>
        <w:ind w:firstLine="480" w:firstLineChars="200"/>
        <w:jc w:val="left"/>
        <w:rPr>
          <w:rFonts w:hAnsi="宋体"/>
          <w:sz w:val="24"/>
          <w:szCs w:val="28"/>
        </w:rPr>
      </w:pPr>
      <w:r>
        <w:rPr>
          <w:rFonts w:hint="eastAsia" w:hAnsi="宋体"/>
          <w:sz w:val="24"/>
          <w:szCs w:val="28"/>
        </w:rPr>
        <w:t>本授权书声明：</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名称）授权</w:t>
      </w:r>
      <w:r>
        <w:rPr>
          <w:rFonts w:hint="eastAsia" w:hAnsi="宋体"/>
          <w:sz w:val="24"/>
          <w:szCs w:val="28"/>
          <w:u w:val="single"/>
        </w:rPr>
        <w:t xml:space="preserve">       </w:t>
      </w:r>
      <w:r>
        <w:rPr>
          <w:rFonts w:hint="eastAsia" w:hAnsi="宋体"/>
          <w:sz w:val="24"/>
          <w:szCs w:val="28"/>
        </w:rPr>
        <w:t>（</w:t>
      </w:r>
      <w:r>
        <w:rPr>
          <w:rFonts w:hint="eastAsia"/>
          <w:sz w:val="24"/>
        </w:rPr>
        <w:t>供应商</w:t>
      </w:r>
      <w:r>
        <w:rPr>
          <w:rFonts w:hint="eastAsia" w:hAnsi="宋体"/>
          <w:sz w:val="24"/>
          <w:szCs w:val="28"/>
        </w:rPr>
        <w:t>授权代表姓名）代表我方参加本项目磋商</w:t>
      </w:r>
      <w:r>
        <w:rPr>
          <w:rFonts w:hint="eastAsia" w:hAnsi="宋体"/>
          <w:bCs/>
          <w:sz w:val="24"/>
          <w:szCs w:val="28"/>
        </w:rPr>
        <w:t>活动</w:t>
      </w:r>
      <w:r>
        <w:rPr>
          <w:rFonts w:hint="eastAsia" w:hAnsi="宋体"/>
          <w:sz w:val="24"/>
          <w:szCs w:val="28"/>
        </w:rPr>
        <w:t>，全权代表我方处理磋商过程的一切事宜，包括但不限于：提交响应文件、参与磋商、签约等。</w:t>
      </w:r>
      <w:r>
        <w:rPr>
          <w:rFonts w:hint="eastAsia"/>
          <w:sz w:val="24"/>
        </w:rPr>
        <w:t>供应商</w:t>
      </w:r>
      <w:r>
        <w:rPr>
          <w:rFonts w:hint="eastAsia" w:hAnsi="宋体"/>
          <w:sz w:val="24"/>
          <w:szCs w:val="28"/>
        </w:rPr>
        <w:t>授权代表在磋商活动过程中所签署的一切文件和处理与之有关的一切事务，本公司均予以认可并对此承担责任。</w:t>
      </w:r>
      <w:r>
        <w:rPr>
          <w:rFonts w:hint="eastAsia"/>
          <w:sz w:val="24"/>
        </w:rPr>
        <w:t>供应商</w:t>
      </w:r>
      <w:r>
        <w:rPr>
          <w:rFonts w:hint="eastAsia" w:hAnsi="宋体"/>
          <w:sz w:val="24"/>
          <w:szCs w:val="28"/>
        </w:rPr>
        <w:t>授权代表无转委托权。特此授权。</w:t>
      </w:r>
    </w:p>
    <w:p w14:paraId="07D5F9F8">
      <w:pPr>
        <w:pStyle w:val="9"/>
        <w:snapToGrid w:val="0"/>
        <w:spacing w:line="360" w:lineRule="auto"/>
        <w:ind w:firstLine="480" w:firstLineChars="200"/>
        <w:jc w:val="left"/>
        <w:rPr>
          <w:rFonts w:hAnsi="宋体"/>
          <w:sz w:val="24"/>
          <w:szCs w:val="28"/>
        </w:rPr>
      </w:pPr>
      <w:r>
        <w:rPr>
          <w:rFonts w:hint="eastAsia" w:hAnsi="宋体"/>
          <w:sz w:val="24"/>
          <w:szCs w:val="28"/>
        </w:rPr>
        <w:t>本授权书自出具之日起生效。</w:t>
      </w:r>
    </w:p>
    <w:p w14:paraId="27F7BF76">
      <w:pPr>
        <w:pStyle w:val="9"/>
        <w:snapToGrid w:val="0"/>
        <w:spacing w:line="360" w:lineRule="auto"/>
        <w:ind w:firstLine="480" w:firstLineChars="200"/>
        <w:jc w:val="left"/>
        <w:rPr>
          <w:rFonts w:hAnsi="宋体"/>
          <w:sz w:val="24"/>
        </w:rPr>
      </w:pPr>
      <w:r>
        <w:rPr>
          <w:rFonts w:hint="eastAsia" w:hAnsi="宋体"/>
          <w:sz w:val="24"/>
          <w:szCs w:val="28"/>
        </w:rPr>
        <w:t>附：授权代表</w:t>
      </w:r>
      <w:r>
        <w:rPr>
          <w:rFonts w:hint="eastAsia" w:hAnsi="宋体"/>
          <w:sz w:val="24"/>
        </w:rPr>
        <w:t>身份证明扫描件或影印件。</w:t>
      </w:r>
    </w:p>
    <w:p w14:paraId="1A8CDB9F">
      <w:pPr>
        <w:pStyle w:val="9"/>
        <w:snapToGrid w:val="0"/>
        <w:spacing w:line="360" w:lineRule="auto"/>
        <w:ind w:firstLine="480" w:firstLineChars="200"/>
        <w:jc w:val="left"/>
        <w:rPr>
          <w:rFonts w:hAnsi="宋体"/>
          <w:sz w:val="24"/>
        </w:rPr>
      </w:pPr>
    </w:p>
    <w:p w14:paraId="11FB7E77">
      <w:pPr>
        <w:pStyle w:val="9"/>
        <w:snapToGrid w:val="0"/>
        <w:spacing w:line="360" w:lineRule="auto"/>
        <w:ind w:firstLine="480" w:firstLineChars="200"/>
        <w:jc w:val="left"/>
        <w:rPr>
          <w:rFonts w:hAnsi="宋体"/>
          <w:sz w:val="24"/>
        </w:rPr>
      </w:pPr>
    </w:p>
    <w:p w14:paraId="37B8EE0F">
      <w:pPr>
        <w:pStyle w:val="9"/>
        <w:snapToGrid w:val="0"/>
        <w:spacing w:line="360" w:lineRule="auto"/>
        <w:ind w:firstLine="480" w:firstLineChars="200"/>
        <w:jc w:val="left"/>
        <w:rPr>
          <w:rFonts w:hAnsi="宋体"/>
          <w:sz w:val="24"/>
        </w:rPr>
      </w:pPr>
    </w:p>
    <w:p w14:paraId="5BF5F9CE">
      <w:pPr>
        <w:pStyle w:val="9"/>
        <w:snapToGrid w:val="0"/>
        <w:spacing w:line="360" w:lineRule="auto"/>
        <w:ind w:firstLine="480" w:firstLineChars="200"/>
        <w:jc w:val="left"/>
        <w:rPr>
          <w:rFonts w:hAnsi="宋体"/>
          <w:sz w:val="24"/>
        </w:rPr>
      </w:pPr>
    </w:p>
    <w:p w14:paraId="74DA447F">
      <w:pPr>
        <w:pStyle w:val="9"/>
        <w:snapToGrid w:val="0"/>
        <w:spacing w:line="360" w:lineRule="auto"/>
        <w:ind w:firstLine="480" w:firstLineChars="200"/>
        <w:jc w:val="left"/>
        <w:rPr>
          <w:rFonts w:hAnsi="宋体"/>
          <w:sz w:val="24"/>
          <w:szCs w:val="28"/>
          <w:u w:val="single"/>
        </w:rPr>
      </w:pPr>
      <w:r>
        <w:rPr>
          <w:rFonts w:hint="eastAsia" w:hAnsi="宋体"/>
          <w:sz w:val="24"/>
          <w:szCs w:val="28"/>
        </w:rPr>
        <w:t>授权代表联系方式：</w:t>
      </w:r>
      <w:r>
        <w:rPr>
          <w:rFonts w:hint="eastAsia" w:hAnsi="宋体"/>
          <w:sz w:val="24"/>
          <w:szCs w:val="28"/>
          <w:u w:val="single"/>
        </w:rPr>
        <w:t xml:space="preserve">          （请填写手机号码）</w:t>
      </w:r>
    </w:p>
    <w:p w14:paraId="35B33DB8">
      <w:pPr>
        <w:pStyle w:val="9"/>
        <w:snapToGrid w:val="0"/>
        <w:spacing w:line="360" w:lineRule="auto"/>
        <w:ind w:firstLine="480" w:firstLineChars="200"/>
        <w:jc w:val="left"/>
        <w:rPr>
          <w:rFonts w:hAnsi="宋体"/>
          <w:sz w:val="24"/>
          <w:szCs w:val="28"/>
        </w:rPr>
      </w:pPr>
    </w:p>
    <w:p w14:paraId="431A12A4">
      <w:pPr>
        <w:spacing w:line="360" w:lineRule="auto"/>
        <w:ind w:firstLine="360" w:firstLineChars="150"/>
        <w:rPr>
          <w:sz w:val="24"/>
          <w:szCs w:val="28"/>
        </w:rPr>
      </w:pPr>
      <w:r>
        <w:rPr>
          <w:rFonts w:hint="eastAsia"/>
          <w:sz w:val="24"/>
          <w:szCs w:val="28"/>
        </w:rPr>
        <w:t>特此声明。</w:t>
      </w:r>
    </w:p>
    <w:p w14:paraId="1C4BFB8A">
      <w:pPr>
        <w:spacing w:line="360" w:lineRule="auto"/>
        <w:rPr>
          <w:sz w:val="24"/>
          <w:szCs w:val="28"/>
        </w:rPr>
      </w:pPr>
    </w:p>
    <w:p w14:paraId="2B770D15">
      <w:pPr>
        <w:spacing w:line="360" w:lineRule="auto"/>
        <w:rPr>
          <w:bCs/>
          <w:sz w:val="24"/>
          <w:szCs w:val="28"/>
        </w:rPr>
      </w:pPr>
      <w:r>
        <w:rPr>
          <w:rFonts w:hint="eastAsia"/>
          <w:sz w:val="24"/>
        </w:rPr>
        <w:t>供应商</w:t>
      </w:r>
      <w:r>
        <w:rPr>
          <w:rFonts w:hint="eastAsia"/>
          <w:bCs/>
          <w:sz w:val="24"/>
          <w:szCs w:val="28"/>
        </w:rPr>
        <w:t>电子签章：</w:t>
      </w:r>
      <w:r>
        <w:rPr>
          <w:rFonts w:hint="eastAsia"/>
          <w:bCs/>
          <w:sz w:val="24"/>
          <w:szCs w:val="28"/>
          <w:u w:val="single"/>
        </w:rPr>
        <w:t xml:space="preserve">                    </w:t>
      </w:r>
    </w:p>
    <w:p w14:paraId="5585B7D9">
      <w:pPr>
        <w:spacing w:line="360" w:lineRule="auto"/>
        <w:rPr>
          <w:sz w:val="24"/>
          <w:szCs w:val="28"/>
        </w:rPr>
      </w:pPr>
      <w:r>
        <w:rPr>
          <w:rFonts w:hint="eastAsia"/>
          <w:sz w:val="24"/>
          <w:szCs w:val="28"/>
        </w:rPr>
        <w:t>日          期：</w:t>
      </w:r>
      <w:r>
        <w:rPr>
          <w:rFonts w:hint="eastAsia"/>
          <w:sz w:val="24"/>
          <w:szCs w:val="28"/>
          <w:u w:val="single"/>
        </w:rPr>
        <w:t xml:space="preserve">                    </w:t>
      </w:r>
    </w:p>
    <w:p w14:paraId="59EE750B">
      <w:pPr>
        <w:spacing w:line="360" w:lineRule="auto"/>
        <w:rPr>
          <w:sz w:val="24"/>
          <w:szCs w:val="28"/>
        </w:rPr>
      </w:pPr>
    </w:p>
    <w:p w14:paraId="7C87C9B5">
      <w:pPr>
        <w:spacing w:line="360" w:lineRule="auto"/>
        <w:rPr>
          <w:sz w:val="24"/>
          <w:szCs w:val="28"/>
        </w:rPr>
      </w:pPr>
    </w:p>
    <w:p w14:paraId="4BB7FA82">
      <w:pPr>
        <w:pStyle w:val="9"/>
        <w:snapToGrid w:val="0"/>
        <w:spacing w:line="360" w:lineRule="auto"/>
        <w:jc w:val="left"/>
        <w:rPr>
          <w:rFonts w:hAnsi="宋体"/>
          <w:sz w:val="24"/>
          <w:szCs w:val="28"/>
        </w:rPr>
      </w:pPr>
      <w:r>
        <w:rPr>
          <w:rFonts w:hint="eastAsia" w:hAnsi="宋体"/>
          <w:sz w:val="24"/>
          <w:szCs w:val="28"/>
        </w:rPr>
        <w:t>注：</w:t>
      </w:r>
    </w:p>
    <w:p w14:paraId="4F17FCC1">
      <w:pPr>
        <w:pStyle w:val="9"/>
        <w:snapToGrid w:val="0"/>
        <w:spacing w:line="360" w:lineRule="auto"/>
        <w:jc w:val="left"/>
        <w:rPr>
          <w:rFonts w:hAnsi="宋体"/>
          <w:sz w:val="24"/>
          <w:szCs w:val="28"/>
        </w:rPr>
      </w:pPr>
      <w:r>
        <w:rPr>
          <w:rFonts w:hint="eastAsia" w:hAnsi="宋体"/>
          <w:sz w:val="24"/>
          <w:szCs w:val="28"/>
        </w:rPr>
        <w:t>1.本项目只允许有唯一的</w:t>
      </w:r>
      <w:r>
        <w:rPr>
          <w:rFonts w:hint="eastAsia"/>
          <w:sz w:val="24"/>
        </w:rPr>
        <w:t>供应商</w:t>
      </w:r>
      <w:r>
        <w:rPr>
          <w:rFonts w:hint="eastAsia" w:hAnsi="宋体"/>
          <w:sz w:val="24"/>
          <w:szCs w:val="28"/>
        </w:rPr>
        <w:t>授权代表，提供身份证明扫描件；</w:t>
      </w:r>
    </w:p>
    <w:p w14:paraId="4D44A7F4">
      <w:pPr>
        <w:spacing w:line="360" w:lineRule="auto"/>
        <w:jc w:val="left"/>
        <w:rPr>
          <w:sz w:val="24"/>
        </w:rPr>
      </w:pPr>
      <w:r>
        <w:rPr>
          <w:rFonts w:hint="eastAsia"/>
          <w:sz w:val="24"/>
        </w:rPr>
        <w:t>2.法定代表人参加磋商的无需提供授权书，仅提供身份证明扫描件。</w:t>
      </w:r>
    </w:p>
    <w:p w14:paraId="33360F53">
      <w:pPr>
        <w:widowControl/>
        <w:jc w:val="center"/>
        <w:rPr>
          <w:rFonts w:cs="@仿宋_GB2312"/>
          <w:b/>
          <w:bCs/>
          <w:kern w:val="2"/>
          <w:sz w:val="24"/>
          <w:szCs w:val="24"/>
        </w:rPr>
      </w:pPr>
      <w:r>
        <w:rPr>
          <w:sz w:val="24"/>
        </w:rPr>
        <w:br w:type="page"/>
      </w:r>
    </w:p>
    <w:p w14:paraId="73AE0DC9">
      <w:pPr>
        <w:widowControl/>
        <w:jc w:val="center"/>
        <w:rPr>
          <w:rFonts w:cs="@仿宋_GB2312"/>
          <w:b/>
          <w:bCs/>
          <w:kern w:val="2"/>
          <w:sz w:val="24"/>
          <w:szCs w:val="24"/>
        </w:rPr>
      </w:pPr>
    </w:p>
    <w:p w14:paraId="40FEEB5E">
      <w:pPr>
        <w:widowControl/>
        <w:jc w:val="center"/>
        <w:rPr>
          <w:rFonts w:hint="eastAsia" w:eastAsia="宋体" w:cs="@仿宋_GB2312"/>
          <w:b/>
          <w:bCs/>
          <w:kern w:val="2"/>
          <w:sz w:val="24"/>
          <w:szCs w:val="24"/>
          <w:lang w:eastAsia="zh-CN"/>
        </w:rPr>
      </w:pPr>
      <w:r>
        <w:rPr>
          <w:rFonts w:hint="eastAsia" w:cs="@仿宋_GB2312"/>
          <w:b/>
          <w:bCs/>
          <w:kern w:val="2"/>
          <w:sz w:val="24"/>
          <w:szCs w:val="24"/>
          <w:lang w:val="en-US" w:eastAsia="zh-CN"/>
        </w:rPr>
        <w:t>六</w:t>
      </w:r>
      <w:r>
        <w:rPr>
          <w:rFonts w:hint="eastAsia" w:cs="@仿宋_GB2312"/>
          <w:b/>
          <w:bCs/>
          <w:kern w:val="2"/>
          <w:sz w:val="24"/>
          <w:szCs w:val="24"/>
        </w:rPr>
        <w:t>、磋商</w:t>
      </w:r>
      <w:r>
        <w:rPr>
          <w:rFonts w:hint="eastAsia" w:cs="@仿宋_GB2312"/>
          <w:b/>
          <w:bCs/>
          <w:kern w:val="2"/>
          <w:sz w:val="24"/>
          <w:szCs w:val="24"/>
          <w:lang w:val="en-US" w:eastAsia="zh-CN"/>
        </w:rPr>
        <w:t>电子交易服务费</w:t>
      </w:r>
    </w:p>
    <w:p w14:paraId="1847CE4A">
      <w:pPr>
        <w:snapToGrid w:val="0"/>
        <w:spacing w:line="360" w:lineRule="auto"/>
        <w:jc w:val="center"/>
        <w:rPr>
          <w:sz w:val="24"/>
          <w:szCs w:val="28"/>
        </w:rPr>
      </w:pPr>
    </w:p>
    <w:p w14:paraId="565A17A5">
      <w:pPr>
        <w:snapToGrid w:val="0"/>
        <w:spacing w:line="360" w:lineRule="auto"/>
        <w:jc w:val="center"/>
        <w:rPr>
          <w:sz w:val="24"/>
          <w:szCs w:val="28"/>
        </w:rPr>
      </w:pPr>
      <w:r>
        <w:rPr>
          <w:rFonts w:hint="eastAsia"/>
          <w:sz w:val="24"/>
          <w:szCs w:val="28"/>
          <w:lang w:eastAsia="zh-CN"/>
        </w:rPr>
        <w:t>供应商</w:t>
      </w:r>
      <w:r>
        <w:rPr>
          <w:rFonts w:hint="eastAsia"/>
          <w:sz w:val="24"/>
          <w:szCs w:val="28"/>
        </w:rPr>
        <w:t>应在此提供银行回单的扫描件。</w:t>
      </w:r>
    </w:p>
    <w:p w14:paraId="2A450180">
      <w:pPr>
        <w:widowControl/>
        <w:jc w:val="center"/>
        <w:rPr>
          <w:rFonts w:cs="@仿宋_GB2312"/>
          <w:b/>
          <w:bCs/>
          <w:kern w:val="2"/>
          <w:sz w:val="24"/>
          <w:szCs w:val="24"/>
        </w:rPr>
      </w:pPr>
    </w:p>
    <w:p w14:paraId="0AE42213">
      <w:pPr>
        <w:widowControl/>
        <w:jc w:val="center"/>
        <w:rPr>
          <w:rFonts w:cs="@仿宋_GB2312"/>
          <w:b/>
          <w:bCs/>
          <w:kern w:val="2"/>
          <w:sz w:val="24"/>
          <w:szCs w:val="24"/>
        </w:rPr>
      </w:pPr>
    </w:p>
    <w:p w14:paraId="16B5BE44">
      <w:pPr>
        <w:widowControl/>
        <w:jc w:val="center"/>
        <w:rPr>
          <w:rFonts w:cs="@仿宋_GB2312"/>
          <w:b/>
          <w:bCs/>
          <w:kern w:val="2"/>
          <w:sz w:val="24"/>
          <w:szCs w:val="24"/>
        </w:rPr>
      </w:pPr>
    </w:p>
    <w:p w14:paraId="33ADD11F">
      <w:pPr>
        <w:widowControl/>
        <w:jc w:val="center"/>
        <w:rPr>
          <w:rFonts w:cs="@仿宋_GB2312"/>
          <w:b/>
          <w:bCs/>
          <w:kern w:val="2"/>
          <w:sz w:val="24"/>
          <w:szCs w:val="24"/>
        </w:rPr>
      </w:pPr>
    </w:p>
    <w:p w14:paraId="0CD285D7">
      <w:pPr>
        <w:widowControl/>
        <w:jc w:val="center"/>
        <w:rPr>
          <w:rFonts w:cs="@仿宋_GB2312"/>
          <w:b/>
          <w:bCs/>
          <w:kern w:val="2"/>
          <w:sz w:val="24"/>
          <w:szCs w:val="24"/>
        </w:rPr>
      </w:pPr>
    </w:p>
    <w:p w14:paraId="0249E8B3">
      <w:pPr>
        <w:widowControl/>
        <w:jc w:val="center"/>
        <w:rPr>
          <w:rFonts w:cs="@仿宋_GB2312"/>
          <w:b/>
          <w:bCs/>
          <w:kern w:val="2"/>
          <w:sz w:val="24"/>
          <w:szCs w:val="24"/>
        </w:rPr>
      </w:pPr>
    </w:p>
    <w:p w14:paraId="54406940">
      <w:pPr>
        <w:widowControl/>
        <w:jc w:val="center"/>
        <w:rPr>
          <w:rFonts w:cs="@仿宋_GB2312"/>
          <w:b/>
          <w:bCs/>
          <w:kern w:val="2"/>
          <w:sz w:val="24"/>
          <w:szCs w:val="24"/>
        </w:rPr>
      </w:pPr>
    </w:p>
    <w:p w14:paraId="33C7A5ED">
      <w:pPr>
        <w:widowControl/>
        <w:jc w:val="center"/>
        <w:rPr>
          <w:rFonts w:cs="@仿宋_GB2312"/>
          <w:b/>
          <w:bCs/>
          <w:kern w:val="2"/>
          <w:sz w:val="24"/>
          <w:szCs w:val="24"/>
        </w:rPr>
      </w:pPr>
    </w:p>
    <w:p w14:paraId="7EAFBB56">
      <w:pPr>
        <w:widowControl/>
        <w:jc w:val="center"/>
        <w:rPr>
          <w:rFonts w:cs="@仿宋_GB2312"/>
          <w:b/>
          <w:bCs/>
          <w:kern w:val="2"/>
          <w:sz w:val="24"/>
          <w:szCs w:val="24"/>
        </w:rPr>
      </w:pPr>
    </w:p>
    <w:p w14:paraId="769AF3D9">
      <w:pPr>
        <w:widowControl/>
        <w:jc w:val="center"/>
        <w:rPr>
          <w:rFonts w:cs="@仿宋_GB2312"/>
          <w:b/>
          <w:bCs/>
          <w:kern w:val="2"/>
          <w:sz w:val="24"/>
          <w:szCs w:val="24"/>
        </w:rPr>
      </w:pPr>
    </w:p>
    <w:p w14:paraId="350E0820">
      <w:pPr>
        <w:widowControl/>
        <w:jc w:val="center"/>
        <w:rPr>
          <w:rFonts w:cs="@仿宋_GB2312"/>
          <w:b/>
          <w:bCs/>
          <w:kern w:val="2"/>
          <w:sz w:val="24"/>
          <w:szCs w:val="24"/>
        </w:rPr>
      </w:pPr>
    </w:p>
    <w:p w14:paraId="63EA3D22">
      <w:pPr>
        <w:widowControl/>
        <w:jc w:val="center"/>
        <w:rPr>
          <w:rFonts w:cs="@仿宋_GB2312"/>
          <w:b/>
          <w:bCs/>
          <w:kern w:val="2"/>
          <w:sz w:val="24"/>
          <w:szCs w:val="24"/>
        </w:rPr>
      </w:pPr>
    </w:p>
    <w:p w14:paraId="1CDCF9FC">
      <w:pPr>
        <w:widowControl/>
        <w:jc w:val="center"/>
        <w:rPr>
          <w:rFonts w:cs="@仿宋_GB2312"/>
          <w:b/>
          <w:bCs/>
          <w:kern w:val="2"/>
          <w:sz w:val="24"/>
          <w:szCs w:val="24"/>
        </w:rPr>
      </w:pPr>
    </w:p>
    <w:p w14:paraId="59F6182B">
      <w:pPr>
        <w:spacing w:after="120" w:line="480" w:lineRule="auto"/>
        <w:ind w:firstLine="482" w:firstLineChars="200"/>
        <w:rPr>
          <w:rFonts w:cs="宋体"/>
          <w:b/>
          <w:bCs/>
          <w:kern w:val="2"/>
          <w:sz w:val="24"/>
          <w:szCs w:val="24"/>
        </w:rPr>
      </w:pPr>
      <w:r>
        <w:rPr>
          <w:rFonts w:hint="eastAsia" w:cs="宋体"/>
          <w:b/>
          <w:bCs/>
          <w:kern w:val="2"/>
          <w:sz w:val="24"/>
          <w:szCs w:val="24"/>
        </w:rPr>
        <w:t>如需开具</w:t>
      </w:r>
      <w:r>
        <w:rPr>
          <w:rFonts w:hint="eastAsia" w:cs="宋体"/>
          <w:b/>
          <w:bCs/>
          <w:kern w:val="2"/>
          <w:sz w:val="24"/>
          <w:szCs w:val="24"/>
          <w:lang w:eastAsia="zh-CN"/>
        </w:rPr>
        <w:t>电子交易服务费</w:t>
      </w:r>
      <w:r>
        <w:rPr>
          <w:rFonts w:hint="eastAsia" w:cs="宋体"/>
          <w:b/>
          <w:bCs/>
          <w:kern w:val="2"/>
          <w:sz w:val="24"/>
          <w:szCs w:val="24"/>
        </w:rPr>
        <w:t>发票请在本页附上开票信息，开票信息按照下列格式填写，发票开具后可在单位税务数字账户中查收，如未填写或填写不完整后期自行带转账回单至肥西县公共资源交易有限公司2楼大厅3号窗口开具。</w:t>
      </w:r>
    </w:p>
    <w:p w14:paraId="3D6FA9F4">
      <w:pPr>
        <w:spacing w:line="360" w:lineRule="auto"/>
        <w:rPr>
          <w:rFonts w:cs="宋体"/>
          <w:b/>
          <w:kern w:val="2"/>
          <w:sz w:val="24"/>
          <w:szCs w:val="24"/>
        </w:rPr>
      </w:pPr>
      <w:r>
        <w:rPr>
          <w:rFonts w:hint="eastAsia" w:cs="宋体"/>
          <w:b/>
          <w:kern w:val="2"/>
          <w:sz w:val="24"/>
          <w:szCs w:val="24"/>
        </w:rPr>
        <w:t>开票信息：</w:t>
      </w:r>
    </w:p>
    <w:p w14:paraId="7C90B1C0">
      <w:pPr>
        <w:spacing w:after="120" w:line="360" w:lineRule="auto"/>
        <w:rPr>
          <w:rFonts w:cs="宋体"/>
          <w:b/>
          <w:kern w:val="2"/>
          <w:sz w:val="24"/>
          <w:szCs w:val="24"/>
        </w:rPr>
      </w:pPr>
      <w:r>
        <w:rPr>
          <w:rFonts w:hint="eastAsia" w:cs="宋体"/>
          <w:b/>
          <w:kern w:val="2"/>
          <w:sz w:val="24"/>
          <w:szCs w:val="24"/>
        </w:rPr>
        <w:t>发票类型：</w:t>
      </w:r>
      <w:r>
        <w:rPr>
          <w:rFonts w:hint="eastAsia" w:cs="宋体"/>
          <w:b/>
          <w:kern w:val="2"/>
          <w:sz w:val="24"/>
          <w:szCs w:val="24"/>
          <w:u w:val="single"/>
        </w:rPr>
        <w:t xml:space="preserve">               </w:t>
      </w:r>
      <w:r>
        <w:rPr>
          <w:rFonts w:hint="eastAsia" w:cs="宋体"/>
          <w:b/>
          <w:kern w:val="2"/>
          <w:sz w:val="24"/>
          <w:szCs w:val="24"/>
        </w:rPr>
        <w:t>（专票或普票）</w:t>
      </w:r>
    </w:p>
    <w:p w14:paraId="6BC93138">
      <w:pPr>
        <w:spacing w:line="360" w:lineRule="auto"/>
        <w:rPr>
          <w:rFonts w:cs="宋体"/>
          <w:b/>
          <w:kern w:val="2"/>
          <w:sz w:val="24"/>
          <w:szCs w:val="24"/>
        </w:rPr>
      </w:pPr>
      <w:r>
        <w:rPr>
          <w:rFonts w:hint="eastAsia" w:cs="宋体"/>
          <w:b/>
          <w:kern w:val="2"/>
          <w:sz w:val="24"/>
          <w:szCs w:val="24"/>
        </w:rPr>
        <w:t>公司名称：</w:t>
      </w:r>
      <w:r>
        <w:rPr>
          <w:rFonts w:hint="eastAsia" w:cs="宋体"/>
          <w:kern w:val="1"/>
          <w:sz w:val="24"/>
          <w:szCs w:val="24"/>
        </w:rPr>
        <w:t xml:space="preserve"> </w:t>
      </w:r>
      <w:r>
        <w:rPr>
          <w:rFonts w:hint="eastAsia" w:cs="宋体"/>
          <w:kern w:val="1"/>
          <w:sz w:val="24"/>
          <w:szCs w:val="24"/>
          <w:u w:val="single"/>
        </w:rPr>
        <w:t xml:space="preserve">                           </w:t>
      </w:r>
      <w:r>
        <w:rPr>
          <w:rFonts w:hint="eastAsia" w:cs="宋体"/>
          <w:kern w:val="1"/>
          <w:sz w:val="24"/>
          <w:szCs w:val="24"/>
        </w:rPr>
        <w:t xml:space="preserve">     </w:t>
      </w:r>
    </w:p>
    <w:p w14:paraId="3DA99D2D">
      <w:pPr>
        <w:widowControl/>
        <w:spacing w:line="360" w:lineRule="auto"/>
        <w:jc w:val="left"/>
        <w:rPr>
          <w:rFonts w:cs="宋体"/>
          <w:b/>
          <w:kern w:val="2"/>
          <w:sz w:val="24"/>
          <w:szCs w:val="24"/>
          <w:u w:val="single"/>
        </w:rPr>
      </w:pPr>
      <w:r>
        <w:rPr>
          <w:rFonts w:hint="eastAsia" w:cs="宋体"/>
          <w:b/>
          <w:kern w:val="2"/>
          <w:sz w:val="24"/>
          <w:szCs w:val="24"/>
        </w:rPr>
        <w:t>纳税识别号：</w:t>
      </w:r>
      <w:r>
        <w:rPr>
          <w:rFonts w:hint="eastAsia" w:cs="宋体"/>
          <w:b/>
          <w:kern w:val="2"/>
          <w:sz w:val="24"/>
          <w:szCs w:val="24"/>
          <w:u w:val="single"/>
        </w:rPr>
        <w:t xml:space="preserve">                          </w:t>
      </w:r>
    </w:p>
    <w:p w14:paraId="5095079D">
      <w:pPr>
        <w:widowControl/>
        <w:spacing w:line="360" w:lineRule="auto"/>
        <w:jc w:val="left"/>
        <w:rPr>
          <w:rFonts w:cs="宋体"/>
          <w:b/>
          <w:kern w:val="2"/>
          <w:sz w:val="24"/>
          <w:szCs w:val="24"/>
          <w:u w:val="single"/>
        </w:rPr>
      </w:pPr>
      <w:r>
        <w:rPr>
          <w:rFonts w:hint="eastAsia" w:cs="宋体"/>
          <w:b/>
          <w:kern w:val="2"/>
          <w:sz w:val="24"/>
          <w:szCs w:val="24"/>
        </w:rPr>
        <w:t>开户行名称：</w:t>
      </w:r>
      <w:r>
        <w:rPr>
          <w:rFonts w:hint="eastAsia" w:cs="宋体"/>
          <w:b/>
          <w:kern w:val="2"/>
          <w:sz w:val="24"/>
          <w:szCs w:val="24"/>
          <w:u w:val="single"/>
        </w:rPr>
        <w:t xml:space="preserve">                          </w:t>
      </w:r>
    </w:p>
    <w:p w14:paraId="1FD0D6CF">
      <w:pPr>
        <w:widowControl/>
        <w:jc w:val="left"/>
        <w:rPr>
          <w:rFonts w:cs="宋体"/>
          <w:b/>
          <w:bCs/>
          <w:kern w:val="2"/>
          <w:sz w:val="24"/>
          <w:szCs w:val="24"/>
        </w:rPr>
      </w:pPr>
      <w:r>
        <w:rPr>
          <w:rFonts w:hint="eastAsia" w:cs="宋体"/>
          <w:b/>
          <w:kern w:val="2"/>
          <w:sz w:val="24"/>
          <w:szCs w:val="24"/>
        </w:rPr>
        <w:t>开户行账号：</w:t>
      </w:r>
      <w:r>
        <w:rPr>
          <w:rFonts w:hint="eastAsia" w:cs="宋体"/>
          <w:b/>
          <w:kern w:val="2"/>
          <w:sz w:val="24"/>
          <w:szCs w:val="24"/>
          <w:u w:val="single"/>
        </w:rPr>
        <w:t xml:space="preserve">                          </w:t>
      </w:r>
    </w:p>
    <w:p w14:paraId="42C39FD9">
      <w:pPr>
        <w:widowControl/>
        <w:rPr>
          <w:rFonts w:cs="@仿宋_GB2312"/>
          <w:b/>
          <w:bCs/>
          <w:kern w:val="2"/>
          <w:sz w:val="24"/>
          <w:szCs w:val="24"/>
        </w:rPr>
      </w:pPr>
    </w:p>
    <w:p w14:paraId="78CFA67B">
      <w:pPr>
        <w:widowControl/>
        <w:jc w:val="center"/>
        <w:rPr>
          <w:rFonts w:cs="@仿宋_GB2312"/>
          <w:b/>
          <w:bCs/>
          <w:kern w:val="2"/>
          <w:sz w:val="24"/>
          <w:szCs w:val="24"/>
        </w:rPr>
      </w:pPr>
    </w:p>
    <w:p w14:paraId="0FCA45EF">
      <w:pPr>
        <w:widowControl/>
        <w:jc w:val="center"/>
        <w:rPr>
          <w:rFonts w:cs="@仿宋_GB2312"/>
          <w:b/>
          <w:bCs/>
          <w:kern w:val="2"/>
          <w:sz w:val="24"/>
          <w:szCs w:val="24"/>
        </w:rPr>
      </w:pPr>
    </w:p>
    <w:p w14:paraId="5230228F">
      <w:pPr>
        <w:widowControl/>
        <w:jc w:val="center"/>
        <w:rPr>
          <w:rFonts w:cs="@仿宋_GB2312"/>
          <w:b/>
          <w:bCs/>
          <w:kern w:val="2"/>
          <w:sz w:val="24"/>
          <w:szCs w:val="24"/>
        </w:rPr>
      </w:pPr>
    </w:p>
    <w:p w14:paraId="296AA145">
      <w:pPr>
        <w:widowControl/>
        <w:jc w:val="center"/>
        <w:rPr>
          <w:rFonts w:cs="@仿宋_GB2312"/>
          <w:b/>
          <w:bCs/>
          <w:kern w:val="2"/>
          <w:sz w:val="24"/>
          <w:szCs w:val="24"/>
        </w:rPr>
      </w:pPr>
    </w:p>
    <w:p w14:paraId="0F59F5FA">
      <w:pPr>
        <w:widowControl/>
        <w:jc w:val="center"/>
        <w:rPr>
          <w:rFonts w:cs="@仿宋_GB2312"/>
          <w:b/>
          <w:bCs/>
          <w:kern w:val="2"/>
          <w:sz w:val="24"/>
          <w:szCs w:val="24"/>
        </w:rPr>
      </w:pPr>
    </w:p>
    <w:p w14:paraId="60B71A14">
      <w:pPr>
        <w:widowControl/>
        <w:jc w:val="center"/>
        <w:rPr>
          <w:rFonts w:cs="@仿宋_GB2312"/>
          <w:b/>
          <w:bCs/>
          <w:kern w:val="2"/>
          <w:sz w:val="24"/>
          <w:szCs w:val="24"/>
        </w:rPr>
      </w:pPr>
    </w:p>
    <w:p w14:paraId="6572508E">
      <w:pPr>
        <w:widowControl/>
        <w:jc w:val="center"/>
        <w:rPr>
          <w:rFonts w:cs="@仿宋_GB2312"/>
          <w:b/>
          <w:bCs/>
          <w:kern w:val="2"/>
          <w:sz w:val="24"/>
          <w:szCs w:val="24"/>
        </w:rPr>
      </w:pPr>
    </w:p>
    <w:p w14:paraId="7433DB27">
      <w:pPr>
        <w:widowControl/>
        <w:jc w:val="center"/>
        <w:rPr>
          <w:rFonts w:cs="@仿宋_GB2312"/>
          <w:b/>
          <w:bCs/>
          <w:kern w:val="2"/>
          <w:sz w:val="24"/>
          <w:szCs w:val="24"/>
        </w:rPr>
      </w:pPr>
    </w:p>
    <w:p w14:paraId="5CBF98D2">
      <w:pPr>
        <w:widowControl/>
        <w:rPr>
          <w:rFonts w:cs="@仿宋_GB2312"/>
          <w:b/>
          <w:bCs/>
          <w:kern w:val="2"/>
          <w:sz w:val="24"/>
          <w:szCs w:val="24"/>
        </w:rPr>
      </w:pPr>
    </w:p>
    <w:p w14:paraId="6305BD6F">
      <w:pPr>
        <w:widowControl/>
        <w:jc w:val="center"/>
        <w:rPr>
          <w:rFonts w:cs="@仿宋_GB2312"/>
          <w:b/>
          <w:bCs/>
          <w:kern w:val="2"/>
          <w:sz w:val="24"/>
          <w:szCs w:val="24"/>
        </w:rPr>
      </w:pPr>
    </w:p>
    <w:p w14:paraId="28F2B9CA">
      <w:pPr>
        <w:widowControl/>
        <w:jc w:val="center"/>
        <w:rPr>
          <w:rFonts w:cs="@仿宋_GB2312"/>
          <w:b/>
          <w:bCs/>
          <w:kern w:val="2"/>
          <w:sz w:val="24"/>
          <w:szCs w:val="24"/>
        </w:rPr>
      </w:pPr>
      <w:r>
        <w:rPr>
          <w:rFonts w:hint="eastAsia" w:cs="@仿宋_GB2312"/>
          <w:b/>
          <w:bCs/>
          <w:kern w:val="2"/>
          <w:sz w:val="24"/>
          <w:szCs w:val="24"/>
          <w:lang w:val="en-US" w:eastAsia="zh-CN"/>
        </w:rPr>
        <w:t>七</w:t>
      </w:r>
      <w:r>
        <w:rPr>
          <w:rFonts w:hint="eastAsia" w:cs="@仿宋_GB2312"/>
          <w:b/>
          <w:bCs/>
          <w:kern w:val="2"/>
          <w:sz w:val="24"/>
          <w:szCs w:val="24"/>
        </w:rPr>
        <w:t>、法定代表人身份证明书</w:t>
      </w:r>
    </w:p>
    <w:p w14:paraId="57D16796">
      <w:pPr>
        <w:autoSpaceDE w:val="0"/>
        <w:autoSpaceDN w:val="0"/>
        <w:adjustRightInd w:val="0"/>
        <w:spacing w:line="360" w:lineRule="auto"/>
        <w:jc w:val="center"/>
        <w:rPr>
          <w:rFonts w:ascii="@仿宋_GB2312" w:eastAsia="@仿宋_GB2312" w:cs="宋体"/>
          <w:b/>
          <w:kern w:val="2"/>
          <w:sz w:val="21"/>
          <w:szCs w:val="24"/>
          <w:lang w:val="zh-CN"/>
        </w:rPr>
      </w:pPr>
    </w:p>
    <w:p w14:paraId="77028E03">
      <w:pPr>
        <w:snapToGrid w:val="0"/>
        <w:spacing w:line="360" w:lineRule="auto"/>
        <w:ind w:firstLine="480" w:firstLineChars="200"/>
        <w:jc w:val="left"/>
        <w:rPr>
          <w:kern w:val="2"/>
          <w:sz w:val="24"/>
          <w:szCs w:val="28"/>
        </w:rPr>
      </w:pPr>
      <w:r>
        <w:rPr>
          <w:rFonts w:hint="eastAsia"/>
          <w:kern w:val="2"/>
          <w:sz w:val="24"/>
          <w:szCs w:val="28"/>
        </w:rPr>
        <w:t>单位名称：</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6B99DD17">
      <w:pPr>
        <w:snapToGrid w:val="0"/>
        <w:spacing w:line="360" w:lineRule="auto"/>
        <w:ind w:firstLine="480" w:firstLineChars="200"/>
        <w:jc w:val="left"/>
        <w:rPr>
          <w:kern w:val="2"/>
          <w:sz w:val="24"/>
          <w:szCs w:val="28"/>
        </w:rPr>
      </w:pPr>
      <w:r>
        <w:rPr>
          <w:rFonts w:hint="eastAsia"/>
          <w:kern w:val="2"/>
          <w:sz w:val="24"/>
          <w:szCs w:val="28"/>
        </w:rPr>
        <w:t>单位性质：</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1ACBC14C">
      <w:pPr>
        <w:snapToGrid w:val="0"/>
        <w:spacing w:line="360" w:lineRule="auto"/>
        <w:ind w:firstLine="480" w:firstLineChars="200"/>
        <w:jc w:val="left"/>
        <w:rPr>
          <w:kern w:val="2"/>
          <w:sz w:val="24"/>
          <w:szCs w:val="28"/>
        </w:rPr>
      </w:pPr>
      <w:r>
        <w:rPr>
          <w:rFonts w:hint="eastAsia"/>
          <w:kern w:val="2"/>
          <w:sz w:val="24"/>
          <w:szCs w:val="28"/>
        </w:rPr>
        <w:t>地    址：</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270AAA44">
      <w:pPr>
        <w:snapToGrid w:val="0"/>
        <w:spacing w:line="360" w:lineRule="auto"/>
        <w:ind w:firstLine="480" w:firstLineChars="200"/>
        <w:jc w:val="left"/>
        <w:rPr>
          <w:kern w:val="2"/>
          <w:sz w:val="24"/>
          <w:szCs w:val="28"/>
        </w:rPr>
      </w:pPr>
      <w:r>
        <w:rPr>
          <w:rFonts w:hint="eastAsia"/>
          <w:kern w:val="2"/>
          <w:sz w:val="24"/>
          <w:szCs w:val="28"/>
        </w:rPr>
        <w:t>成立时间：</w:t>
      </w:r>
      <w:r>
        <w:rPr>
          <w:rFonts w:hint="eastAsia"/>
          <w:kern w:val="2"/>
          <w:sz w:val="24"/>
          <w:szCs w:val="28"/>
          <w:u w:val="single"/>
        </w:rPr>
        <w:t xml:space="preserve">              </w:t>
      </w:r>
      <w:r>
        <w:rPr>
          <w:rFonts w:hint="eastAsia"/>
          <w:kern w:val="2"/>
          <w:sz w:val="24"/>
          <w:szCs w:val="28"/>
        </w:rPr>
        <w:t>年</w:t>
      </w:r>
      <w:r>
        <w:rPr>
          <w:rFonts w:hint="eastAsia"/>
          <w:kern w:val="2"/>
          <w:sz w:val="24"/>
          <w:szCs w:val="28"/>
          <w:u w:val="single"/>
        </w:rPr>
        <w:t xml:space="preserve">         </w:t>
      </w:r>
      <w:r>
        <w:rPr>
          <w:rFonts w:hint="eastAsia"/>
          <w:kern w:val="2"/>
          <w:sz w:val="24"/>
          <w:szCs w:val="28"/>
        </w:rPr>
        <w:t>月</w:t>
      </w:r>
      <w:r>
        <w:rPr>
          <w:rFonts w:hint="eastAsia"/>
          <w:kern w:val="2"/>
          <w:sz w:val="24"/>
          <w:szCs w:val="28"/>
          <w:u w:val="single"/>
        </w:rPr>
        <w:t xml:space="preserve">        </w:t>
      </w:r>
      <w:r>
        <w:rPr>
          <w:rFonts w:hint="eastAsia"/>
          <w:kern w:val="2"/>
          <w:sz w:val="24"/>
          <w:szCs w:val="28"/>
        </w:rPr>
        <w:t>日</w:t>
      </w:r>
    </w:p>
    <w:p w14:paraId="3143B0E1">
      <w:pPr>
        <w:snapToGrid w:val="0"/>
        <w:spacing w:line="360" w:lineRule="auto"/>
        <w:ind w:firstLine="480" w:firstLineChars="200"/>
        <w:jc w:val="left"/>
        <w:rPr>
          <w:kern w:val="2"/>
          <w:sz w:val="24"/>
          <w:szCs w:val="28"/>
        </w:rPr>
      </w:pPr>
      <w:r>
        <w:rPr>
          <w:rFonts w:hint="eastAsia"/>
          <w:kern w:val="2"/>
          <w:sz w:val="24"/>
          <w:szCs w:val="28"/>
        </w:rPr>
        <w:t>经营期限：</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r>
        <w:rPr>
          <w:kern w:val="2"/>
          <w:sz w:val="24"/>
          <w:szCs w:val="28"/>
          <w:u w:val="single"/>
        </w:rPr>
        <w:t xml:space="preserve"> </w:t>
      </w:r>
      <w:r>
        <w:rPr>
          <w:rFonts w:hint="eastAsia"/>
          <w:kern w:val="2"/>
          <w:sz w:val="24"/>
          <w:szCs w:val="28"/>
          <w:u w:val="single"/>
        </w:rPr>
        <w:t xml:space="preserve">     </w:t>
      </w:r>
    </w:p>
    <w:p w14:paraId="72960C44">
      <w:pPr>
        <w:snapToGrid w:val="0"/>
        <w:spacing w:line="360" w:lineRule="auto"/>
        <w:ind w:firstLine="480" w:firstLineChars="200"/>
        <w:jc w:val="left"/>
        <w:rPr>
          <w:kern w:val="2"/>
          <w:sz w:val="24"/>
          <w:szCs w:val="28"/>
        </w:rPr>
      </w:pPr>
      <w:r>
        <w:rPr>
          <w:rFonts w:hint="eastAsia"/>
          <w:kern w:val="2"/>
          <w:sz w:val="24"/>
          <w:szCs w:val="28"/>
        </w:rPr>
        <w:t>姓    名：</w:t>
      </w:r>
      <w:r>
        <w:rPr>
          <w:rFonts w:hint="eastAsia"/>
          <w:kern w:val="2"/>
          <w:sz w:val="24"/>
          <w:szCs w:val="28"/>
          <w:u w:val="single"/>
        </w:rPr>
        <w:t xml:space="preserve">                  </w:t>
      </w:r>
      <w:r>
        <w:rPr>
          <w:rFonts w:hint="eastAsia"/>
          <w:kern w:val="2"/>
          <w:sz w:val="24"/>
          <w:szCs w:val="28"/>
        </w:rPr>
        <w:t xml:space="preserve"> 性 </w:t>
      </w:r>
      <w:r>
        <w:rPr>
          <w:kern w:val="2"/>
          <w:sz w:val="24"/>
          <w:szCs w:val="28"/>
        </w:rPr>
        <w:t xml:space="preserve">  </w:t>
      </w:r>
      <w:r>
        <w:rPr>
          <w:rFonts w:hint="eastAsia"/>
          <w:kern w:val="2"/>
          <w:sz w:val="24"/>
          <w:szCs w:val="28"/>
        </w:rPr>
        <w:t xml:space="preserve"> 别：</w:t>
      </w:r>
      <w:r>
        <w:rPr>
          <w:rFonts w:hint="eastAsia"/>
          <w:kern w:val="2"/>
          <w:sz w:val="24"/>
          <w:szCs w:val="28"/>
          <w:u w:val="single"/>
        </w:rPr>
        <w:t xml:space="preserve">             </w:t>
      </w:r>
    </w:p>
    <w:p w14:paraId="5A983FB0">
      <w:pPr>
        <w:snapToGrid w:val="0"/>
        <w:spacing w:line="360" w:lineRule="auto"/>
        <w:ind w:firstLine="480" w:firstLineChars="200"/>
        <w:jc w:val="left"/>
        <w:rPr>
          <w:kern w:val="2"/>
          <w:sz w:val="24"/>
          <w:szCs w:val="28"/>
          <w:u w:val="single"/>
        </w:rPr>
      </w:pPr>
      <w:r>
        <w:rPr>
          <w:rFonts w:hint="eastAsia"/>
          <w:kern w:val="2"/>
          <w:sz w:val="24"/>
          <w:szCs w:val="28"/>
        </w:rPr>
        <w:t>年    龄：</w:t>
      </w:r>
      <w:r>
        <w:rPr>
          <w:rFonts w:hint="eastAsia"/>
          <w:kern w:val="2"/>
          <w:sz w:val="24"/>
          <w:szCs w:val="28"/>
          <w:u w:val="single"/>
        </w:rPr>
        <w:t xml:space="preserve">                  </w:t>
      </w:r>
      <w:r>
        <w:rPr>
          <w:rFonts w:hint="eastAsia"/>
          <w:kern w:val="2"/>
          <w:sz w:val="24"/>
          <w:szCs w:val="28"/>
        </w:rPr>
        <w:t xml:space="preserve"> 职    务：</w:t>
      </w:r>
      <w:r>
        <w:rPr>
          <w:rFonts w:hint="eastAsia"/>
          <w:kern w:val="2"/>
          <w:sz w:val="24"/>
          <w:szCs w:val="28"/>
          <w:u w:val="single"/>
        </w:rPr>
        <w:t xml:space="preserve">             </w:t>
      </w:r>
    </w:p>
    <w:p w14:paraId="2D4E910C">
      <w:pPr>
        <w:snapToGrid w:val="0"/>
        <w:spacing w:line="360" w:lineRule="auto"/>
        <w:ind w:firstLine="480" w:firstLineChars="200"/>
        <w:jc w:val="left"/>
        <w:rPr>
          <w:kern w:val="2"/>
          <w:sz w:val="24"/>
          <w:szCs w:val="28"/>
        </w:rPr>
      </w:pPr>
      <w:r>
        <w:rPr>
          <w:rFonts w:hint="eastAsia"/>
          <w:kern w:val="2"/>
          <w:sz w:val="24"/>
          <w:szCs w:val="28"/>
        </w:rPr>
        <w:t>联系</w:t>
      </w:r>
      <w:r>
        <w:rPr>
          <w:kern w:val="2"/>
          <w:sz w:val="24"/>
          <w:szCs w:val="28"/>
        </w:rPr>
        <w:t>电话</w:t>
      </w:r>
      <w:r>
        <w:rPr>
          <w:rFonts w:hint="eastAsia"/>
          <w:kern w:val="2"/>
          <w:sz w:val="24"/>
          <w:szCs w:val="28"/>
        </w:rPr>
        <w:t>：</w:t>
      </w:r>
      <w:r>
        <w:rPr>
          <w:rFonts w:hint="eastAsia"/>
          <w:kern w:val="2"/>
          <w:sz w:val="24"/>
          <w:szCs w:val="28"/>
          <w:u w:val="single"/>
        </w:rPr>
        <w:t xml:space="preserve">                  </w:t>
      </w:r>
      <w:r>
        <w:rPr>
          <w:rFonts w:hint="eastAsia"/>
          <w:kern w:val="2"/>
          <w:sz w:val="24"/>
          <w:szCs w:val="28"/>
        </w:rPr>
        <w:t xml:space="preserve"> 手机号码：</w:t>
      </w:r>
      <w:r>
        <w:rPr>
          <w:rFonts w:hint="eastAsia"/>
          <w:kern w:val="2"/>
          <w:sz w:val="24"/>
          <w:szCs w:val="28"/>
          <w:u w:val="single"/>
        </w:rPr>
        <w:t xml:space="preserve">             </w:t>
      </w:r>
    </w:p>
    <w:p w14:paraId="1D270888">
      <w:pPr>
        <w:snapToGrid w:val="0"/>
        <w:spacing w:line="360" w:lineRule="auto"/>
        <w:ind w:firstLine="480" w:firstLineChars="200"/>
        <w:jc w:val="left"/>
        <w:rPr>
          <w:kern w:val="2"/>
          <w:sz w:val="24"/>
          <w:szCs w:val="28"/>
        </w:rPr>
      </w:pPr>
      <w:r>
        <w:rPr>
          <w:rFonts w:hint="eastAsia"/>
          <w:kern w:val="2"/>
          <w:sz w:val="24"/>
          <w:szCs w:val="28"/>
          <w:u w:val="single"/>
        </w:rPr>
        <w:t xml:space="preserve">        </w:t>
      </w:r>
      <w:r>
        <w:rPr>
          <w:rFonts w:hint="eastAsia"/>
          <w:kern w:val="2"/>
          <w:sz w:val="24"/>
          <w:szCs w:val="28"/>
        </w:rPr>
        <w:t xml:space="preserve">系  </w:t>
      </w:r>
      <w:r>
        <w:rPr>
          <w:rFonts w:hint="eastAsia"/>
          <w:kern w:val="2"/>
          <w:sz w:val="24"/>
          <w:szCs w:val="28"/>
          <w:u w:val="single"/>
        </w:rPr>
        <w:t xml:space="preserve">   （</w:t>
      </w:r>
      <w:r>
        <w:rPr>
          <w:rFonts w:hint="eastAsia"/>
          <w:sz w:val="24"/>
          <w:u w:val="single"/>
        </w:rPr>
        <w:t>供应商</w:t>
      </w:r>
      <w:r>
        <w:rPr>
          <w:rFonts w:hint="eastAsia"/>
          <w:kern w:val="2"/>
          <w:sz w:val="24"/>
          <w:szCs w:val="28"/>
          <w:u w:val="single"/>
        </w:rPr>
        <w:t xml:space="preserve">单位名称）       </w:t>
      </w:r>
      <w:r>
        <w:rPr>
          <w:rFonts w:hint="eastAsia"/>
          <w:kern w:val="2"/>
          <w:sz w:val="24"/>
          <w:szCs w:val="28"/>
        </w:rPr>
        <w:t>的法定代表人。</w:t>
      </w:r>
    </w:p>
    <w:p w14:paraId="0AA9EAAB">
      <w:pPr>
        <w:spacing w:before="62" w:beforeLines="20" w:after="62" w:afterLines="20" w:line="540" w:lineRule="exact"/>
        <w:ind w:firstLine="610"/>
        <w:rPr>
          <w:rFonts w:ascii="@仿宋_GB2312" w:eastAsia="@仿宋_GB2312" w:cs="宋体"/>
          <w:kern w:val="2"/>
          <w:sz w:val="24"/>
          <w:szCs w:val="24"/>
        </w:rPr>
      </w:pPr>
    </w:p>
    <w:p w14:paraId="56511595">
      <w:pPr>
        <w:spacing w:before="62" w:beforeLines="20" w:after="62" w:afterLines="20" w:line="540" w:lineRule="exact"/>
        <w:ind w:left="400" w:leftChars="200" w:firstLine="240" w:firstLineChars="100"/>
        <w:rPr>
          <w:rFonts w:cs="宋体"/>
          <w:kern w:val="2"/>
          <w:sz w:val="24"/>
          <w:szCs w:val="24"/>
        </w:rPr>
      </w:pPr>
      <w:r>
        <w:rPr>
          <w:rFonts w:hint="eastAsia" w:cs="宋体"/>
          <w:kern w:val="2"/>
          <w:sz w:val="24"/>
          <w:szCs w:val="24"/>
        </w:rPr>
        <w:t>特此证明。</w:t>
      </w:r>
    </w:p>
    <w:p w14:paraId="6DF18874">
      <w:pPr>
        <w:tabs>
          <w:tab w:val="left" w:pos="720"/>
          <w:tab w:val="left" w:pos="900"/>
        </w:tabs>
        <w:spacing w:before="62" w:beforeLines="20" w:after="62" w:afterLines="20" w:line="540" w:lineRule="exact"/>
        <w:ind w:firstLine="480" w:firstLineChars="200"/>
        <w:rPr>
          <w:rFonts w:cs="宋体"/>
          <w:kern w:val="2"/>
          <w:sz w:val="24"/>
          <w:szCs w:val="24"/>
        </w:rPr>
      </w:pPr>
      <w:r>
        <w:rPr>
          <w:rFonts w:hint="eastAsia" w:cs="宋体"/>
          <w:kern w:val="2"/>
          <w:sz w:val="24"/>
          <w:szCs w:val="24"/>
        </w:rPr>
        <w:t>附：法定代表人身份证扫描件</w:t>
      </w:r>
    </w:p>
    <w:p w14:paraId="7A930BCD">
      <w:pPr>
        <w:tabs>
          <w:tab w:val="left" w:pos="720"/>
          <w:tab w:val="left" w:pos="900"/>
        </w:tabs>
        <w:spacing w:before="62" w:beforeLines="20" w:after="62" w:afterLines="20" w:line="540" w:lineRule="exact"/>
        <w:ind w:firstLine="480" w:firstLineChars="200"/>
        <w:rPr>
          <w:rFonts w:ascii="@仿宋_GB2312" w:eastAsia="@仿宋_GB2312" w:cs="宋体"/>
          <w:kern w:val="2"/>
          <w:sz w:val="24"/>
          <w:szCs w:val="24"/>
        </w:rPr>
      </w:pPr>
    </w:p>
    <w:p w14:paraId="04080F69">
      <w:pPr>
        <w:tabs>
          <w:tab w:val="left" w:pos="720"/>
          <w:tab w:val="left" w:pos="900"/>
        </w:tabs>
        <w:spacing w:before="62" w:beforeLines="20" w:after="62" w:afterLines="20" w:line="540" w:lineRule="exact"/>
        <w:ind w:firstLine="4560" w:firstLineChars="1900"/>
        <w:rPr>
          <w:rFonts w:ascii="@仿宋_GB2312" w:eastAsia="@仿宋_GB2312" w:cs="宋体"/>
          <w:kern w:val="2"/>
          <w:sz w:val="24"/>
          <w:szCs w:val="24"/>
        </w:rPr>
      </w:pPr>
    </w:p>
    <w:p w14:paraId="7787F193">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20727117">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7F46032D">
      <w:pPr>
        <w:spacing w:line="360" w:lineRule="auto"/>
        <w:jc w:val="center"/>
        <w:rPr>
          <w:rFonts w:cs="@仿宋_GB2312"/>
          <w:b/>
          <w:bCs/>
          <w:kern w:val="2"/>
          <w:sz w:val="24"/>
          <w:szCs w:val="24"/>
        </w:rPr>
      </w:pPr>
      <w:r>
        <w:rPr>
          <w:rFonts w:cs="@仿宋_GB2312"/>
          <w:kern w:val="2"/>
          <w:sz w:val="24"/>
          <w:szCs w:val="24"/>
        </w:rPr>
        <w:br w:type="page"/>
      </w:r>
      <w:r>
        <w:rPr>
          <w:rFonts w:hint="eastAsia" w:cs="@仿宋_GB2312"/>
          <w:b/>
          <w:bCs/>
          <w:kern w:val="2"/>
          <w:sz w:val="24"/>
          <w:szCs w:val="24"/>
          <w:lang w:val="en-US" w:eastAsia="zh-CN"/>
        </w:rPr>
        <w:t>八</w:t>
      </w:r>
      <w:r>
        <w:rPr>
          <w:rFonts w:hint="eastAsia" w:cs="@仿宋_GB2312"/>
          <w:b/>
          <w:bCs/>
          <w:kern w:val="2"/>
          <w:sz w:val="24"/>
          <w:szCs w:val="24"/>
        </w:rPr>
        <w:t>、磋商业绩承诺函</w:t>
      </w:r>
    </w:p>
    <w:p w14:paraId="16428EA0">
      <w:pPr>
        <w:rPr>
          <w:rFonts w:eastAsia="@仿宋_GB2312" w:cs="@仿宋_GB2312"/>
          <w:kern w:val="2"/>
          <w:sz w:val="21"/>
        </w:rPr>
      </w:pPr>
    </w:p>
    <w:p w14:paraId="2398215E">
      <w:pPr>
        <w:spacing w:line="360" w:lineRule="auto"/>
        <w:ind w:firstLine="480" w:firstLineChars="200"/>
        <w:rPr>
          <w:rFonts w:cs="宋体"/>
          <w:kern w:val="2"/>
          <w:sz w:val="24"/>
          <w:szCs w:val="24"/>
        </w:rPr>
      </w:pPr>
      <w:r>
        <w:rPr>
          <w:rFonts w:hint="eastAsia" w:cs="宋体"/>
          <w:kern w:val="2"/>
          <w:sz w:val="24"/>
          <w:szCs w:val="24"/>
        </w:rPr>
        <w:t>我公司同意成交结果公告中公示以下业绩并承诺：响应文件中所提供的业绩均真实有效，若被发现存在任何虚假、隐瞒情况，我公司承担由此产生的一切后果。</w:t>
      </w:r>
    </w:p>
    <w:p w14:paraId="0C2EA402">
      <w:pPr>
        <w:spacing w:line="360" w:lineRule="auto"/>
        <w:ind w:firstLine="480" w:firstLineChars="200"/>
        <w:rPr>
          <w:rFonts w:cs="宋体"/>
          <w:kern w:val="2"/>
          <w:sz w:val="24"/>
          <w:szCs w:val="24"/>
        </w:rPr>
      </w:pPr>
    </w:p>
    <w:p w14:paraId="42E38147">
      <w:pPr>
        <w:spacing w:line="360" w:lineRule="auto"/>
        <w:ind w:firstLine="3840" w:firstLineChars="1600"/>
        <w:rPr>
          <w:rFonts w:cs="宋体"/>
          <w:kern w:val="2"/>
          <w:sz w:val="24"/>
          <w:szCs w:val="24"/>
        </w:rPr>
      </w:pPr>
      <w:r>
        <w:rPr>
          <w:rFonts w:hint="eastAsia"/>
          <w:sz w:val="24"/>
        </w:rPr>
        <w:t>供应商</w:t>
      </w:r>
      <w:r>
        <w:rPr>
          <w:rFonts w:hint="eastAsia" w:cs="宋体"/>
          <w:kern w:val="2"/>
          <w:sz w:val="24"/>
          <w:szCs w:val="24"/>
        </w:rPr>
        <w:t>电子签章：</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34775D00">
      <w:pPr>
        <w:spacing w:line="360" w:lineRule="auto"/>
        <w:ind w:firstLine="3840" w:firstLineChars="1600"/>
        <w:rPr>
          <w:rFonts w:cs="宋体"/>
          <w:kern w:val="2"/>
          <w:sz w:val="24"/>
          <w:szCs w:val="24"/>
        </w:rPr>
      </w:pPr>
      <w:r>
        <w:rPr>
          <w:rFonts w:hint="eastAsia" w:cs="宋体"/>
          <w:kern w:val="2"/>
          <w:sz w:val="24"/>
          <w:szCs w:val="24"/>
        </w:rPr>
        <w:t>日</w:t>
      </w:r>
      <w:r>
        <w:rPr>
          <w:rFonts w:cs="宋体"/>
          <w:kern w:val="2"/>
          <w:sz w:val="24"/>
          <w:szCs w:val="24"/>
        </w:rPr>
        <w:t xml:space="preserve">   </w:t>
      </w:r>
      <w:r>
        <w:rPr>
          <w:rFonts w:hint="eastAsia" w:cs="宋体"/>
          <w:kern w:val="2"/>
          <w:sz w:val="24"/>
          <w:szCs w:val="24"/>
        </w:rPr>
        <w:t xml:space="preserve">    </w:t>
      </w:r>
      <w:r>
        <w:rPr>
          <w:rFonts w:cs="宋体"/>
          <w:kern w:val="2"/>
          <w:sz w:val="24"/>
          <w:szCs w:val="24"/>
        </w:rPr>
        <w:t xml:space="preserve">   </w:t>
      </w:r>
      <w:r>
        <w:rPr>
          <w:rFonts w:hint="eastAsia" w:cs="宋体"/>
          <w:kern w:val="2"/>
          <w:sz w:val="24"/>
          <w:szCs w:val="24"/>
        </w:rPr>
        <w:t>期：</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r>
        <w:rPr>
          <w:rFonts w:hint="eastAsia" w:cs="宋体"/>
          <w:kern w:val="2"/>
          <w:sz w:val="24"/>
          <w:szCs w:val="24"/>
          <w:u w:val="single"/>
        </w:rPr>
        <w:t xml:space="preserve">  </w:t>
      </w:r>
      <w:r>
        <w:rPr>
          <w:rFonts w:cs="宋体"/>
          <w:kern w:val="2"/>
          <w:sz w:val="24"/>
          <w:szCs w:val="24"/>
          <w:u w:val="single"/>
        </w:rPr>
        <w:t xml:space="preserve">   </w:t>
      </w:r>
    </w:p>
    <w:p w14:paraId="4BB71FFB">
      <w:pPr>
        <w:spacing w:line="360" w:lineRule="auto"/>
        <w:rPr>
          <w:rFonts w:eastAsia="@仿宋_GB2312" w:cs="@仿宋_GB2312"/>
          <w:kern w:val="2"/>
          <w:sz w:val="21"/>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4174"/>
        <w:gridCol w:w="2320"/>
        <w:gridCol w:w="1069"/>
      </w:tblGrid>
      <w:tr w14:paraId="4CBDB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959" w:type="dxa"/>
            <w:vAlign w:val="center"/>
          </w:tcPr>
          <w:p w14:paraId="6E3E486F">
            <w:pPr>
              <w:spacing w:line="360" w:lineRule="auto"/>
              <w:jc w:val="center"/>
              <w:rPr>
                <w:rFonts w:cs="宋体"/>
                <w:b/>
                <w:kern w:val="2"/>
                <w:sz w:val="24"/>
                <w:szCs w:val="24"/>
              </w:rPr>
            </w:pPr>
            <w:r>
              <w:rPr>
                <w:rFonts w:hint="eastAsia" w:cs="宋体"/>
                <w:b/>
                <w:kern w:val="2"/>
                <w:sz w:val="24"/>
                <w:szCs w:val="24"/>
              </w:rPr>
              <w:t>序号</w:t>
            </w:r>
          </w:p>
        </w:tc>
        <w:tc>
          <w:tcPr>
            <w:tcW w:w="4174" w:type="dxa"/>
            <w:vAlign w:val="center"/>
          </w:tcPr>
          <w:p w14:paraId="36666EF1">
            <w:pPr>
              <w:spacing w:line="360" w:lineRule="auto"/>
              <w:jc w:val="center"/>
              <w:rPr>
                <w:rFonts w:cs="宋体"/>
                <w:b/>
                <w:kern w:val="2"/>
                <w:sz w:val="24"/>
                <w:szCs w:val="24"/>
              </w:rPr>
            </w:pPr>
            <w:r>
              <w:rPr>
                <w:rFonts w:hint="eastAsia" w:cs="宋体"/>
                <w:b/>
                <w:kern w:val="2"/>
                <w:sz w:val="24"/>
                <w:szCs w:val="24"/>
              </w:rPr>
              <w:t>项目名称</w:t>
            </w:r>
          </w:p>
        </w:tc>
        <w:tc>
          <w:tcPr>
            <w:tcW w:w="2320" w:type="dxa"/>
            <w:vAlign w:val="center"/>
          </w:tcPr>
          <w:p w14:paraId="50CD8FA8">
            <w:pPr>
              <w:widowControl/>
              <w:spacing w:line="360" w:lineRule="auto"/>
              <w:jc w:val="center"/>
              <w:rPr>
                <w:rFonts w:cs="宋体"/>
                <w:b/>
                <w:kern w:val="2"/>
                <w:sz w:val="24"/>
                <w:szCs w:val="24"/>
              </w:rPr>
            </w:pPr>
            <w:r>
              <w:rPr>
                <w:rFonts w:hint="eastAsia" w:cs="宋体"/>
                <w:b/>
                <w:kern w:val="2"/>
                <w:sz w:val="24"/>
                <w:szCs w:val="24"/>
              </w:rPr>
              <w:t>工程内容</w:t>
            </w:r>
          </w:p>
        </w:tc>
        <w:tc>
          <w:tcPr>
            <w:tcW w:w="1069" w:type="dxa"/>
            <w:vAlign w:val="center"/>
          </w:tcPr>
          <w:p w14:paraId="45CB10CF">
            <w:pPr>
              <w:spacing w:line="360" w:lineRule="auto"/>
              <w:jc w:val="center"/>
              <w:rPr>
                <w:rFonts w:cs="宋体"/>
                <w:b/>
                <w:kern w:val="2"/>
                <w:sz w:val="24"/>
                <w:szCs w:val="24"/>
              </w:rPr>
            </w:pPr>
            <w:r>
              <w:rPr>
                <w:rFonts w:hint="eastAsia" w:cs="宋体"/>
                <w:b/>
                <w:kern w:val="2"/>
                <w:sz w:val="24"/>
                <w:szCs w:val="24"/>
              </w:rPr>
              <w:t>备注</w:t>
            </w:r>
          </w:p>
        </w:tc>
      </w:tr>
      <w:tr w14:paraId="3B154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09EE41A9">
            <w:pPr>
              <w:spacing w:line="360" w:lineRule="auto"/>
              <w:jc w:val="center"/>
              <w:rPr>
                <w:rFonts w:cs="宋体"/>
                <w:bCs/>
                <w:kern w:val="2"/>
                <w:sz w:val="24"/>
                <w:szCs w:val="24"/>
              </w:rPr>
            </w:pPr>
            <w:r>
              <w:rPr>
                <w:rFonts w:hint="eastAsia" w:cs="宋体"/>
                <w:bCs/>
                <w:kern w:val="2"/>
                <w:sz w:val="24"/>
                <w:szCs w:val="24"/>
              </w:rPr>
              <w:t>1</w:t>
            </w:r>
          </w:p>
        </w:tc>
        <w:tc>
          <w:tcPr>
            <w:tcW w:w="4174" w:type="dxa"/>
            <w:vAlign w:val="center"/>
          </w:tcPr>
          <w:p w14:paraId="61B152C3">
            <w:pPr>
              <w:spacing w:line="360" w:lineRule="auto"/>
              <w:rPr>
                <w:rFonts w:cs="宋体"/>
                <w:b/>
                <w:kern w:val="2"/>
                <w:sz w:val="24"/>
                <w:szCs w:val="24"/>
              </w:rPr>
            </w:pPr>
          </w:p>
        </w:tc>
        <w:tc>
          <w:tcPr>
            <w:tcW w:w="2320" w:type="dxa"/>
            <w:vAlign w:val="center"/>
          </w:tcPr>
          <w:p w14:paraId="4D1C7661">
            <w:pPr>
              <w:spacing w:line="360" w:lineRule="auto"/>
              <w:rPr>
                <w:rFonts w:cs="宋体"/>
                <w:b/>
                <w:kern w:val="2"/>
                <w:sz w:val="24"/>
                <w:szCs w:val="24"/>
              </w:rPr>
            </w:pPr>
          </w:p>
        </w:tc>
        <w:tc>
          <w:tcPr>
            <w:tcW w:w="1069" w:type="dxa"/>
            <w:vAlign w:val="center"/>
          </w:tcPr>
          <w:p w14:paraId="000AD5C5">
            <w:pPr>
              <w:spacing w:line="360" w:lineRule="auto"/>
              <w:rPr>
                <w:rFonts w:cs="宋体"/>
                <w:b/>
                <w:kern w:val="2"/>
                <w:sz w:val="24"/>
                <w:szCs w:val="24"/>
              </w:rPr>
            </w:pPr>
          </w:p>
        </w:tc>
      </w:tr>
      <w:tr w14:paraId="23C27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792003D">
            <w:pPr>
              <w:spacing w:line="360" w:lineRule="auto"/>
              <w:jc w:val="center"/>
              <w:rPr>
                <w:rFonts w:cs="宋体"/>
                <w:bCs/>
                <w:kern w:val="2"/>
                <w:sz w:val="24"/>
                <w:szCs w:val="24"/>
              </w:rPr>
            </w:pPr>
            <w:r>
              <w:rPr>
                <w:rFonts w:hint="eastAsia" w:cs="宋体"/>
                <w:bCs/>
                <w:kern w:val="2"/>
                <w:sz w:val="24"/>
                <w:szCs w:val="24"/>
              </w:rPr>
              <w:t>2</w:t>
            </w:r>
          </w:p>
        </w:tc>
        <w:tc>
          <w:tcPr>
            <w:tcW w:w="4174" w:type="dxa"/>
            <w:vAlign w:val="center"/>
          </w:tcPr>
          <w:p w14:paraId="235D9F61">
            <w:pPr>
              <w:spacing w:line="360" w:lineRule="auto"/>
              <w:rPr>
                <w:rFonts w:cs="宋体"/>
                <w:b/>
                <w:kern w:val="2"/>
                <w:sz w:val="24"/>
                <w:szCs w:val="24"/>
              </w:rPr>
            </w:pPr>
          </w:p>
        </w:tc>
        <w:tc>
          <w:tcPr>
            <w:tcW w:w="2320" w:type="dxa"/>
            <w:vAlign w:val="center"/>
          </w:tcPr>
          <w:p w14:paraId="3D914C71">
            <w:pPr>
              <w:spacing w:line="360" w:lineRule="auto"/>
              <w:rPr>
                <w:rFonts w:cs="宋体"/>
                <w:b/>
                <w:kern w:val="2"/>
                <w:sz w:val="24"/>
                <w:szCs w:val="24"/>
              </w:rPr>
            </w:pPr>
          </w:p>
        </w:tc>
        <w:tc>
          <w:tcPr>
            <w:tcW w:w="1069" w:type="dxa"/>
            <w:vAlign w:val="center"/>
          </w:tcPr>
          <w:p w14:paraId="6E06B64A">
            <w:pPr>
              <w:spacing w:line="360" w:lineRule="auto"/>
              <w:rPr>
                <w:rFonts w:cs="宋体"/>
                <w:b/>
                <w:kern w:val="2"/>
                <w:sz w:val="24"/>
                <w:szCs w:val="24"/>
              </w:rPr>
            </w:pPr>
          </w:p>
        </w:tc>
      </w:tr>
      <w:tr w14:paraId="4A6BCF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4E6243B4">
            <w:pPr>
              <w:spacing w:line="360" w:lineRule="auto"/>
              <w:jc w:val="center"/>
              <w:rPr>
                <w:rFonts w:cs="宋体"/>
                <w:bCs/>
                <w:kern w:val="2"/>
                <w:sz w:val="24"/>
                <w:szCs w:val="24"/>
              </w:rPr>
            </w:pPr>
            <w:r>
              <w:rPr>
                <w:rFonts w:hint="eastAsia" w:cs="宋体"/>
                <w:bCs/>
                <w:kern w:val="2"/>
                <w:sz w:val="24"/>
                <w:szCs w:val="24"/>
              </w:rPr>
              <w:t>3</w:t>
            </w:r>
          </w:p>
        </w:tc>
        <w:tc>
          <w:tcPr>
            <w:tcW w:w="4174" w:type="dxa"/>
            <w:vAlign w:val="center"/>
          </w:tcPr>
          <w:p w14:paraId="69A2FC9D">
            <w:pPr>
              <w:spacing w:line="360" w:lineRule="auto"/>
              <w:rPr>
                <w:rFonts w:cs="宋体"/>
                <w:b/>
                <w:kern w:val="2"/>
                <w:sz w:val="24"/>
                <w:szCs w:val="24"/>
              </w:rPr>
            </w:pPr>
          </w:p>
        </w:tc>
        <w:tc>
          <w:tcPr>
            <w:tcW w:w="2320" w:type="dxa"/>
            <w:vAlign w:val="center"/>
          </w:tcPr>
          <w:p w14:paraId="41D503CE">
            <w:pPr>
              <w:spacing w:line="360" w:lineRule="auto"/>
              <w:rPr>
                <w:rFonts w:cs="宋体"/>
                <w:b/>
                <w:kern w:val="2"/>
                <w:sz w:val="24"/>
                <w:szCs w:val="24"/>
              </w:rPr>
            </w:pPr>
          </w:p>
        </w:tc>
        <w:tc>
          <w:tcPr>
            <w:tcW w:w="1069" w:type="dxa"/>
            <w:vAlign w:val="center"/>
          </w:tcPr>
          <w:p w14:paraId="62676833">
            <w:pPr>
              <w:spacing w:line="360" w:lineRule="auto"/>
              <w:rPr>
                <w:rFonts w:cs="宋体"/>
                <w:b/>
                <w:kern w:val="2"/>
                <w:sz w:val="24"/>
                <w:szCs w:val="24"/>
              </w:rPr>
            </w:pPr>
          </w:p>
        </w:tc>
      </w:tr>
      <w:tr w14:paraId="65D75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73E870C4">
            <w:pPr>
              <w:spacing w:line="360" w:lineRule="auto"/>
              <w:jc w:val="center"/>
              <w:rPr>
                <w:rFonts w:cs="宋体"/>
                <w:bCs/>
                <w:kern w:val="2"/>
                <w:sz w:val="24"/>
                <w:szCs w:val="24"/>
              </w:rPr>
            </w:pPr>
            <w:r>
              <w:rPr>
                <w:rFonts w:hint="eastAsia" w:cs="宋体"/>
                <w:bCs/>
                <w:kern w:val="2"/>
                <w:sz w:val="24"/>
                <w:szCs w:val="24"/>
              </w:rPr>
              <w:t>4</w:t>
            </w:r>
          </w:p>
        </w:tc>
        <w:tc>
          <w:tcPr>
            <w:tcW w:w="4174" w:type="dxa"/>
            <w:vAlign w:val="center"/>
          </w:tcPr>
          <w:p w14:paraId="40D4E1CE">
            <w:pPr>
              <w:spacing w:line="360" w:lineRule="auto"/>
              <w:rPr>
                <w:rFonts w:cs="宋体"/>
                <w:b/>
                <w:kern w:val="2"/>
                <w:sz w:val="24"/>
                <w:szCs w:val="24"/>
              </w:rPr>
            </w:pPr>
          </w:p>
        </w:tc>
        <w:tc>
          <w:tcPr>
            <w:tcW w:w="2320" w:type="dxa"/>
            <w:vAlign w:val="center"/>
          </w:tcPr>
          <w:p w14:paraId="388DF09D">
            <w:pPr>
              <w:spacing w:line="360" w:lineRule="auto"/>
              <w:rPr>
                <w:rFonts w:cs="宋体"/>
                <w:b/>
                <w:kern w:val="2"/>
                <w:sz w:val="24"/>
                <w:szCs w:val="24"/>
              </w:rPr>
            </w:pPr>
          </w:p>
        </w:tc>
        <w:tc>
          <w:tcPr>
            <w:tcW w:w="1069" w:type="dxa"/>
            <w:vAlign w:val="center"/>
          </w:tcPr>
          <w:p w14:paraId="63CBD283">
            <w:pPr>
              <w:spacing w:line="360" w:lineRule="auto"/>
              <w:rPr>
                <w:rFonts w:cs="宋体"/>
                <w:b/>
                <w:kern w:val="2"/>
                <w:sz w:val="24"/>
                <w:szCs w:val="24"/>
              </w:rPr>
            </w:pPr>
          </w:p>
        </w:tc>
      </w:tr>
      <w:tr w14:paraId="57BCE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9D4F8B1">
            <w:pPr>
              <w:spacing w:line="360" w:lineRule="auto"/>
              <w:jc w:val="center"/>
              <w:rPr>
                <w:rFonts w:cs="宋体"/>
                <w:bCs/>
                <w:kern w:val="2"/>
                <w:sz w:val="24"/>
                <w:szCs w:val="24"/>
              </w:rPr>
            </w:pPr>
            <w:r>
              <w:rPr>
                <w:rFonts w:hint="eastAsia" w:cs="宋体"/>
                <w:bCs/>
                <w:kern w:val="2"/>
                <w:sz w:val="24"/>
                <w:szCs w:val="24"/>
              </w:rPr>
              <w:t>5</w:t>
            </w:r>
          </w:p>
        </w:tc>
        <w:tc>
          <w:tcPr>
            <w:tcW w:w="4174" w:type="dxa"/>
            <w:vAlign w:val="center"/>
          </w:tcPr>
          <w:p w14:paraId="52153258">
            <w:pPr>
              <w:spacing w:line="360" w:lineRule="auto"/>
              <w:rPr>
                <w:rFonts w:cs="宋体"/>
                <w:b/>
                <w:kern w:val="2"/>
                <w:sz w:val="24"/>
                <w:szCs w:val="24"/>
              </w:rPr>
            </w:pPr>
          </w:p>
        </w:tc>
        <w:tc>
          <w:tcPr>
            <w:tcW w:w="2320" w:type="dxa"/>
            <w:vAlign w:val="center"/>
          </w:tcPr>
          <w:p w14:paraId="55689561">
            <w:pPr>
              <w:spacing w:line="360" w:lineRule="auto"/>
              <w:rPr>
                <w:rFonts w:cs="宋体"/>
                <w:b/>
                <w:kern w:val="2"/>
                <w:sz w:val="24"/>
                <w:szCs w:val="24"/>
              </w:rPr>
            </w:pPr>
          </w:p>
        </w:tc>
        <w:tc>
          <w:tcPr>
            <w:tcW w:w="1069" w:type="dxa"/>
            <w:vAlign w:val="center"/>
          </w:tcPr>
          <w:p w14:paraId="77656195">
            <w:pPr>
              <w:spacing w:line="360" w:lineRule="auto"/>
              <w:rPr>
                <w:rFonts w:cs="宋体"/>
                <w:b/>
                <w:kern w:val="2"/>
                <w:sz w:val="24"/>
                <w:szCs w:val="24"/>
              </w:rPr>
            </w:pPr>
          </w:p>
        </w:tc>
      </w:tr>
      <w:tr w14:paraId="594F5F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vAlign w:val="center"/>
          </w:tcPr>
          <w:p w14:paraId="6CC690D5">
            <w:pPr>
              <w:spacing w:line="360" w:lineRule="auto"/>
              <w:jc w:val="center"/>
              <w:rPr>
                <w:rFonts w:cs="宋体"/>
                <w:b/>
                <w:kern w:val="2"/>
                <w:sz w:val="24"/>
                <w:szCs w:val="24"/>
              </w:rPr>
            </w:pPr>
            <w:r>
              <w:rPr>
                <w:rFonts w:hint="eastAsia" w:cs="宋体"/>
                <w:b/>
                <w:kern w:val="2"/>
                <w:sz w:val="24"/>
                <w:szCs w:val="24"/>
              </w:rPr>
              <w:t>……</w:t>
            </w:r>
          </w:p>
        </w:tc>
        <w:tc>
          <w:tcPr>
            <w:tcW w:w="4174" w:type="dxa"/>
            <w:vAlign w:val="center"/>
          </w:tcPr>
          <w:p w14:paraId="6ED884FF">
            <w:pPr>
              <w:spacing w:line="360" w:lineRule="auto"/>
              <w:rPr>
                <w:rFonts w:cs="宋体"/>
                <w:b/>
                <w:kern w:val="2"/>
                <w:sz w:val="24"/>
                <w:szCs w:val="24"/>
              </w:rPr>
            </w:pPr>
          </w:p>
        </w:tc>
        <w:tc>
          <w:tcPr>
            <w:tcW w:w="2320" w:type="dxa"/>
            <w:vAlign w:val="center"/>
          </w:tcPr>
          <w:p w14:paraId="5FF9BC6D">
            <w:pPr>
              <w:spacing w:line="360" w:lineRule="auto"/>
              <w:rPr>
                <w:rFonts w:cs="宋体"/>
                <w:b/>
                <w:kern w:val="2"/>
                <w:sz w:val="24"/>
                <w:szCs w:val="24"/>
              </w:rPr>
            </w:pPr>
          </w:p>
        </w:tc>
        <w:tc>
          <w:tcPr>
            <w:tcW w:w="1069" w:type="dxa"/>
            <w:vAlign w:val="center"/>
          </w:tcPr>
          <w:p w14:paraId="267EB001">
            <w:pPr>
              <w:spacing w:line="360" w:lineRule="auto"/>
              <w:rPr>
                <w:rFonts w:cs="宋体"/>
                <w:b/>
                <w:kern w:val="2"/>
                <w:sz w:val="24"/>
                <w:szCs w:val="24"/>
              </w:rPr>
            </w:pPr>
          </w:p>
        </w:tc>
      </w:tr>
    </w:tbl>
    <w:p w14:paraId="4ECF5B60">
      <w:pPr>
        <w:spacing w:line="360" w:lineRule="auto"/>
        <w:ind w:firstLine="480" w:firstLineChars="200"/>
        <w:rPr>
          <w:rFonts w:cs="宋体"/>
          <w:kern w:val="2"/>
          <w:sz w:val="24"/>
          <w:szCs w:val="24"/>
        </w:rPr>
      </w:pPr>
      <w:r>
        <w:rPr>
          <w:rFonts w:hint="eastAsia" w:cs="宋体"/>
          <w:kern w:val="2"/>
          <w:sz w:val="24"/>
          <w:szCs w:val="24"/>
        </w:rPr>
        <w:t>备注：</w:t>
      </w:r>
    </w:p>
    <w:p w14:paraId="7CEFE2F5">
      <w:pPr>
        <w:spacing w:line="360" w:lineRule="auto"/>
        <w:ind w:firstLine="480" w:firstLineChars="200"/>
        <w:rPr>
          <w:rFonts w:cs="宋体"/>
          <w:kern w:val="2"/>
          <w:sz w:val="24"/>
          <w:szCs w:val="24"/>
        </w:rPr>
      </w:pPr>
      <w:r>
        <w:rPr>
          <w:rFonts w:hint="eastAsia" w:cs="宋体"/>
          <w:kern w:val="2"/>
          <w:sz w:val="24"/>
          <w:szCs w:val="24"/>
        </w:rPr>
        <w:t>1.表中所列业绩应为</w:t>
      </w:r>
      <w:r>
        <w:rPr>
          <w:rFonts w:hint="eastAsia"/>
          <w:sz w:val="24"/>
        </w:rPr>
        <w:t>供应商</w:t>
      </w:r>
      <w:r>
        <w:rPr>
          <w:rFonts w:hint="eastAsia" w:cs="宋体"/>
          <w:kern w:val="2"/>
          <w:sz w:val="24"/>
          <w:szCs w:val="24"/>
        </w:rPr>
        <w:t xml:space="preserve">满足本磋商文件要求的业绩； </w:t>
      </w:r>
    </w:p>
    <w:p w14:paraId="2F1179EB">
      <w:pPr>
        <w:spacing w:line="360" w:lineRule="auto"/>
        <w:ind w:firstLine="480" w:firstLineChars="200"/>
        <w:rPr>
          <w:rFonts w:hint="eastAsia" w:cs="宋体"/>
          <w:kern w:val="2"/>
          <w:sz w:val="24"/>
          <w:szCs w:val="24"/>
        </w:rPr>
      </w:pPr>
      <w:r>
        <w:rPr>
          <w:rFonts w:hint="eastAsia" w:cs="宋体"/>
          <w:kern w:val="2"/>
          <w:sz w:val="24"/>
          <w:szCs w:val="24"/>
        </w:rPr>
        <w:t>2.成交人提供的以上业绩情况，如磋商文件《</w:t>
      </w:r>
      <w:r>
        <w:rPr>
          <w:rFonts w:hint="eastAsia"/>
          <w:sz w:val="24"/>
        </w:rPr>
        <w:t>供应商</w:t>
      </w:r>
      <w:r>
        <w:rPr>
          <w:rFonts w:hint="eastAsia" w:cs="宋体"/>
          <w:kern w:val="2"/>
          <w:sz w:val="24"/>
          <w:szCs w:val="24"/>
        </w:rPr>
        <w:t>须知前附表》有约定的，将按约定随成交结果公告同时公告。</w:t>
      </w:r>
      <w:bookmarkStart w:id="67" w:name="_Hlk44283088"/>
    </w:p>
    <w:p w14:paraId="493CC76A">
      <w:pPr>
        <w:rPr>
          <w:rFonts w:hint="eastAsia" w:cs="宋体"/>
          <w:kern w:val="2"/>
          <w:sz w:val="24"/>
          <w:szCs w:val="24"/>
        </w:rPr>
      </w:pPr>
      <w:r>
        <w:rPr>
          <w:rFonts w:hint="eastAsia" w:cs="宋体"/>
          <w:kern w:val="2"/>
          <w:sz w:val="24"/>
          <w:szCs w:val="24"/>
        </w:rPr>
        <w:br w:type="page"/>
      </w:r>
    </w:p>
    <w:p w14:paraId="3C39A532">
      <w:pPr>
        <w:spacing w:line="360" w:lineRule="auto"/>
        <w:ind w:left="0" w:leftChars="0" w:firstLine="0" w:firstLineChars="0"/>
        <w:jc w:val="center"/>
        <w:rPr>
          <w:b/>
          <w:sz w:val="24"/>
        </w:rPr>
      </w:pPr>
      <w:r>
        <w:rPr>
          <w:rFonts w:hint="eastAsia"/>
          <w:b/>
          <w:sz w:val="24"/>
          <w:lang w:val="en-US" w:eastAsia="zh-CN"/>
        </w:rPr>
        <w:t>九</w:t>
      </w:r>
      <w:r>
        <w:rPr>
          <w:rFonts w:hint="eastAsia"/>
          <w:b/>
          <w:sz w:val="24"/>
        </w:rPr>
        <w:t>、</w:t>
      </w:r>
      <w:bookmarkEnd w:id="67"/>
      <w:r>
        <w:rPr>
          <w:rFonts w:hint="eastAsia"/>
          <w:b/>
          <w:sz w:val="24"/>
        </w:rPr>
        <w:t>其他材料</w:t>
      </w:r>
    </w:p>
    <w:p w14:paraId="2801B82F">
      <w:pPr>
        <w:spacing w:line="360" w:lineRule="auto"/>
        <w:rPr>
          <w:rFonts w:cs="宋体"/>
          <w:sz w:val="24"/>
          <w:szCs w:val="24"/>
        </w:rPr>
      </w:pPr>
    </w:p>
    <w:p w14:paraId="2A5D1295">
      <w:pPr>
        <w:spacing w:line="360" w:lineRule="auto"/>
        <w:ind w:left="0" w:leftChars="0" w:firstLine="0" w:firstLineChars="0"/>
        <w:jc w:val="center"/>
        <w:rPr>
          <w:rFonts w:cs="宋体"/>
          <w:b/>
          <w:bCs/>
          <w:sz w:val="44"/>
          <w:szCs w:val="44"/>
        </w:rPr>
      </w:pPr>
      <w:r>
        <w:rPr>
          <w:rFonts w:hint="eastAsia"/>
          <w:sz w:val="24"/>
        </w:rPr>
        <w:t>供应商根据磋商文件要求自行提供。</w:t>
      </w:r>
      <w:r>
        <w:rPr>
          <w:sz w:val="24"/>
        </w:rPr>
        <w:br w:type="page"/>
      </w:r>
      <w:r>
        <w:rPr>
          <w:rFonts w:hint="eastAsia" w:cs="宋体"/>
          <w:b/>
          <w:bCs/>
          <w:sz w:val="44"/>
          <w:szCs w:val="44"/>
        </w:rPr>
        <w:t>附件：全流程电子招标采购具体要求</w:t>
      </w:r>
      <w:r>
        <w:rPr>
          <w:rStyle w:val="35"/>
          <w:rFonts w:hint="eastAsia" w:cs="宋体"/>
          <w:b/>
          <w:bCs/>
          <w:sz w:val="44"/>
          <w:szCs w:val="44"/>
        </w:rPr>
        <w:footnoteReference w:id="0"/>
      </w:r>
    </w:p>
    <w:p w14:paraId="57645C3A">
      <w:pPr>
        <w:spacing w:line="400" w:lineRule="exact"/>
        <w:ind w:firstLine="480" w:firstLineChars="200"/>
        <w:rPr>
          <w:rFonts w:cs="宋体"/>
          <w:sz w:val="24"/>
          <w:szCs w:val="24"/>
        </w:rPr>
      </w:pPr>
      <w:r>
        <w:rPr>
          <w:rFonts w:hint="eastAsia" w:cs="宋体"/>
          <w:sz w:val="24"/>
          <w:szCs w:val="24"/>
        </w:rPr>
        <w:t>说明：当采用非招标方式进行全流程电子采购活动时，按照本规定执行，其中本要求“供应商”按“</w:t>
      </w:r>
      <w:r>
        <w:rPr>
          <w:rFonts w:hint="eastAsia"/>
          <w:sz w:val="24"/>
          <w:szCs w:val="24"/>
          <w:lang w:val="en-US" w:eastAsia="zh-CN"/>
        </w:rPr>
        <w:t>投标人</w:t>
      </w:r>
      <w:r>
        <w:rPr>
          <w:rFonts w:hint="eastAsia" w:cs="宋体"/>
          <w:sz w:val="24"/>
          <w:szCs w:val="24"/>
        </w:rPr>
        <w:t>”理解，“</w:t>
      </w:r>
      <w:r>
        <w:rPr>
          <w:rFonts w:hint="eastAsia" w:cs="宋体"/>
          <w:sz w:val="24"/>
          <w:szCs w:val="24"/>
          <w:lang w:eastAsia="zh-CN"/>
        </w:rPr>
        <w:t>响应文件</w:t>
      </w:r>
      <w:r>
        <w:rPr>
          <w:rFonts w:hint="eastAsia" w:cs="宋体"/>
          <w:sz w:val="24"/>
          <w:szCs w:val="24"/>
        </w:rPr>
        <w:t>”按“</w:t>
      </w:r>
      <w:r>
        <w:rPr>
          <w:rFonts w:hint="eastAsia" w:cs="宋体"/>
          <w:sz w:val="24"/>
          <w:szCs w:val="24"/>
          <w:lang w:val="en-US" w:eastAsia="zh-CN"/>
        </w:rPr>
        <w:t>投标</w:t>
      </w:r>
      <w:r>
        <w:rPr>
          <w:rFonts w:hint="eastAsia" w:cs="宋体"/>
          <w:sz w:val="24"/>
          <w:szCs w:val="24"/>
        </w:rPr>
        <w:t>文件”理解，“</w:t>
      </w:r>
      <w:r>
        <w:rPr>
          <w:rFonts w:hint="eastAsia" w:cs="宋体"/>
          <w:sz w:val="24"/>
          <w:szCs w:val="24"/>
          <w:lang w:eastAsia="zh-CN"/>
        </w:rPr>
        <w:t>磋商文件</w:t>
      </w:r>
      <w:r>
        <w:rPr>
          <w:rFonts w:hint="eastAsia" w:cs="宋体"/>
          <w:sz w:val="24"/>
          <w:szCs w:val="24"/>
        </w:rPr>
        <w:t>”按“</w:t>
      </w:r>
      <w:r>
        <w:rPr>
          <w:rFonts w:hint="eastAsia" w:cs="宋体"/>
          <w:sz w:val="24"/>
          <w:szCs w:val="24"/>
          <w:lang w:val="en-US" w:eastAsia="zh-CN"/>
        </w:rPr>
        <w:t>招标</w:t>
      </w:r>
      <w:r>
        <w:rPr>
          <w:rFonts w:hint="eastAsia" w:cs="宋体"/>
          <w:sz w:val="24"/>
          <w:szCs w:val="24"/>
        </w:rPr>
        <w:t>文件”理解，“</w:t>
      </w:r>
      <w:r>
        <w:rPr>
          <w:rFonts w:hint="eastAsia" w:cs="宋体"/>
          <w:sz w:val="24"/>
          <w:szCs w:val="24"/>
          <w:lang w:eastAsia="zh-CN"/>
        </w:rPr>
        <w:t>响应文件</w:t>
      </w:r>
      <w:r>
        <w:rPr>
          <w:rFonts w:hint="eastAsia" w:cs="宋体"/>
          <w:sz w:val="24"/>
          <w:szCs w:val="24"/>
        </w:rPr>
        <w:t>递交截止时间”按“</w:t>
      </w:r>
      <w:r>
        <w:rPr>
          <w:rFonts w:hint="eastAsia" w:cs="宋体"/>
          <w:sz w:val="24"/>
          <w:szCs w:val="24"/>
          <w:lang w:val="en-US" w:eastAsia="zh-CN"/>
        </w:rPr>
        <w:t>投标</w:t>
      </w:r>
      <w:r>
        <w:rPr>
          <w:rFonts w:hint="eastAsia" w:cs="宋体"/>
          <w:sz w:val="24"/>
          <w:szCs w:val="24"/>
        </w:rPr>
        <w:t>截止时间”理解，“开启响应文件”按“开标”理解，“</w:t>
      </w:r>
      <w:r>
        <w:rPr>
          <w:rFonts w:hint="eastAsia" w:cs="宋体"/>
          <w:sz w:val="24"/>
          <w:szCs w:val="24"/>
          <w:lang w:eastAsia="zh-CN"/>
        </w:rPr>
        <w:t>评审委员会</w:t>
      </w:r>
      <w:r>
        <w:rPr>
          <w:rFonts w:hint="eastAsia" w:cs="宋体"/>
          <w:sz w:val="24"/>
          <w:szCs w:val="24"/>
        </w:rPr>
        <w:t>”按“</w:t>
      </w:r>
      <w:r>
        <w:rPr>
          <w:rFonts w:hint="eastAsia" w:cs="宋体"/>
          <w:sz w:val="24"/>
          <w:szCs w:val="24"/>
          <w:lang w:eastAsia="zh-CN"/>
        </w:rPr>
        <w:t>评</w:t>
      </w:r>
      <w:r>
        <w:rPr>
          <w:rFonts w:hint="eastAsia" w:cs="宋体"/>
          <w:sz w:val="24"/>
          <w:szCs w:val="24"/>
          <w:lang w:val="en-US" w:eastAsia="zh-CN"/>
        </w:rPr>
        <w:t>标</w:t>
      </w:r>
      <w:r>
        <w:rPr>
          <w:rFonts w:hint="eastAsia" w:cs="宋体"/>
          <w:sz w:val="24"/>
          <w:szCs w:val="24"/>
          <w:lang w:eastAsia="zh-CN"/>
        </w:rPr>
        <w:t>委员会</w:t>
      </w:r>
      <w:r>
        <w:rPr>
          <w:rFonts w:hint="eastAsia" w:cs="宋体"/>
          <w:sz w:val="24"/>
          <w:szCs w:val="24"/>
        </w:rPr>
        <w:t>”理解，“响应文件无效”按“投标无效”理解。</w:t>
      </w:r>
    </w:p>
    <w:p w14:paraId="22E87464">
      <w:pPr>
        <w:spacing w:line="400" w:lineRule="exact"/>
        <w:ind w:firstLine="480" w:firstLineChars="200"/>
        <w:rPr>
          <w:rFonts w:cs="宋体"/>
          <w:sz w:val="24"/>
          <w:szCs w:val="24"/>
        </w:rPr>
      </w:pPr>
    </w:p>
    <w:p w14:paraId="45050F19">
      <w:pPr>
        <w:spacing w:line="400" w:lineRule="exact"/>
        <w:ind w:firstLine="480" w:firstLineChars="200"/>
        <w:rPr>
          <w:rFonts w:cs="宋体"/>
          <w:sz w:val="24"/>
          <w:szCs w:val="24"/>
        </w:rPr>
      </w:pPr>
      <w:r>
        <w:rPr>
          <w:rFonts w:hint="eastAsia" w:cs="宋体"/>
          <w:sz w:val="24"/>
          <w:szCs w:val="24"/>
        </w:rPr>
        <w:t>一、CA证书办理和注意事项</w:t>
      </w:r>
    </w:p>
    <w:p w14:paraId="299C4FDB">
      <w:pPr>
        <w:spacing w:line="400" w:lineRule="exact"/>
        <w:ind w:firstLine="480" w:firstLineChars="200"/>
        <w:rPr>
          <w:rFonts w:cs="宋体"/>
          <w:sz w:val="24"/>
          <w:szCs w:val="24"/>
        </w:rPr>
      </w:pPr>
      <w:r>
        <w:rPr>
          <w:rFonts w:hint="eastAsia" w:cs="宋体"/>
          <w:sz w:val="24"/>
          <w:szCs w:val="24"/>
        </w:rPr>
        <w:t>1.本项目采用全流程电子招标采购方式，潜在供应商应及时办理CA证书，用于对</w:t>
      </w:r>
      <w:r>
        <w:rPr>
          <w:rFonts w:hint="eastAsia" w:cs="宋体"/>
          <w:sz w:val="24"/>
          <w:szCs w:val="24"/>
          <w:lang w:eastAsia="zh-CN"/>
        </w:rPr>
        <w:t>响应文件</w:t>
      </w:r>
      <w:r>
        <w:rPr>
          <w:rFonts w:hint="eastAsia" w:cs="宋体"/>
          <w:sz w:val="24"/>
          <w:szCs w:val="24"/>
        </w:rPr>
        <w:t>进行电子签章及加、解密。</w:t>
      </w:r>
    </w:p>
    <w:p w14:paraId="05EFC8C6">
      <w:pPr>
        <w:spacing w:line="400" w:lineRule="exact"/>
        <w:ind w:firstLine="480" w:firstLineChars="200"/>
        <w:rPr>
          <w:rFonts w:cs="宋体"/>
          <w:bCs/>
          <w:sz w:val="24"/>
          <w:szCs w:val="24"/>
        </w:rPr>
      </w:pPr>
      <w:r>
        <w:rPr>
          <w:rFonts w:hint="eastAsia" w:cs="宋体"/>
          <w:sz w:val="24"/>
          <w:szCs w:val="24"/>
        </w:rPr>
        <w:t>2.CA证书办理详见</w:t>
      </w:r>
      <w:r>
        <w:rPr>
          <w:rFonts w:hint="eastAsia" w:cs="宋体"/>
          <w:bCs/>
          <w:sz w:val="24"/>
          <w:szCs w:val="24"/>
        </w:rPr>
        <w:t>《优质采平台CA数字证书办理说明》：</w:t>
      </w:r>
    </w:p>
    <w:p w14:paraId="3DE8418B">
      <w:pPr>
        <w:spacing w:line="400" w:lineRule="exact"/>
        <w:rPr>
          <w:rFonts w:cs="宋体"/>
          <w:b/>
          <w:bCs/>
          <w:sz w:val="24"/>
          <w:szCs w:val="24"/>
        </w:rPr>
      </w:pPr>
      <w:r>
        <w:fldChar w:fldCharType="begin"/>
      </w:r>
      <w:r>
        <w:instrText xml:space="preserve"> HYPERLINK "http://www.youzhicai.com/ActivityTopic/AdviceDetail/8f80a7ec-911f-4c4d-a123-f8849880f045" </w:instrText>
      </w:r>
      <w:r>
        <w:fldChar w:fldCharType="separate"/>
      </w:r>
      <w:r>
        <w:rPr>
          <w:rStyle w:val="31"/>
          <w:rFonts w:hint="eastAsia" w:cs="宋体"/>
          <w:bCs/>
          <w:color w:val="auto"/>
          <w:sz w:val="24"/>
          <w:szCs w:val="24"/>
        </w:rPr>
        <w:t>http://www.youzhicai.com/ActivityTopic/AdviceDetail/8f80a7ec-911f-4c4d-a123-f</w:t>
      </w:r>
      <w:bookmarkStart w:id="68" w:name="_Hlt105085548"/>
      <w:bookmarkStart w:id="69" w:name="_Hlt105085547"/>
      <w:r>
        <w:rPr>
          <w:rStyle w:val="31"/>
          <w:rFonts w:hint="eastAsia" w:cs="宋体"/>
          <w:bCs/>
          <w:color w:val="auto"/>
          <w:sz w:val="24"/>
          <w:szCs w:val="24"/>
        </w:rPr>
        <w:t>8</w:t>
      </w:r>
      <w:bookmarkEnd w:id="68"/>
      <w:bookmarkEnd w:id="69"/>
      <w:r>
        <w:rPr>
          <w:rStyle w:val="31"/>
          <w:rFonts w:hint="eastAsia" w:cs="宋体"/>
          <w:bCs/>
          <w:color w:val="auto"/>
          <w:sz w:val="24"/>
          <w:szCs w:val="24"/>
        </w:rPr>
        <w:t>849880f045</w:t>
      </w:r>
      <w:r>
        <w:rPr>
          <w:rStyle w:val="31"/>
          <w:rFonts w:hint="eastAsia" w:cs="宋体"/>
          <w:bCs/>
          <w:color w:val="auto"/>
          <w:sz w:val="24"/>
          <w:szCs w:val="24"/>
        </w:rPr>
        <w:fldChar w:fldCharType="end"/>
      </w:r>
      <w:r>
        <w:rPr>
          <w:rFonts w:hint="eastAsia" w:cs="宋体"/>
          <w:bCs/>
          <w:sz w:val="24"/>
          <w:szCs w:val="24"/>
        </w:rPr>
        <w:t>。</w:t>
      </w:r>
    </w:p>
    <w:p w14:paraId="02BDE61E">
      <w:pPr>
        <w:spacing w:line="400" w:lineRule="exact"/>
        <w:ind w:firstLine="480" w:firstLineChars="200"/>
        <w:rPr>
          <w:rFonts w:cs="宋体"/>
          <w:sz w:val="24"/>
          <w:szCs w:val="24"/>
        </w:rPr>
      </w:pPr>
      <w:r>
        <w:rPr>
          <w:rFonts w:hint="eastAsia" w:cs="宋体"/>
          <w:sz w:val="24"/>
          <w:szCs w:val="24"/>
        </w:rPr>
        <w:t>3.CA证书到期或即将到期，须在递交</w:t>
      </w:r>
      <w:r>
        <w:rPr>
          <w:rFonts w:hint="eastAsia" w:cs="宋体"/>
          <w:sz w:val="24"/>
          <w:szCs w:val="24"/>
          <w:lang w:eastAsia="zh-CN"/>
        </w:rPr>
        <w:t>响应文件</w:t>
      </w:r>
      <w:r>
        <w:rPr>
          <w:rFonts w:hint="eastAsia" w:cs="宋体"/>
          <w:sz w:val="24"/>
          <w:szCs w:val="24"/>
        </w:rPr>
        <w:t>前办理续期。</w:t>
      </w:r>
    </w:p>
    <w:p w14:paraId="7B38D0EA">
      <w:pPr>
        <w:spacing w:line="400" w:lineRule="exact"/>
        <w:ind w:firstLine="420"/>
        <w:rPr>
          <w:rFonts w:cs="宋体"/>
          <w:sz w:val="24"/>
          <w:szCs w:val="24"/>
        </w:rPr>
      </w:pPr>
      <w:r>
        <w:rPr>
          <w:rFonts w:hint="eastAsia" w:cs="宋体"/>
          <w:sz w:val="24"/>
          <w:szCs w:val="24"/>
        </w:rPr>
        <w:t>4.CA锁遗失、损坏等无法使用，须在递交</w:t>
      </w:r>
      <w:r>
        <w:rPr>
          <w:rFonts w:hint="eastAsia" w:cs="宋体"/>
          <w:sz w:val="24"/>
          <w:szCs w:val="24"/>
          <w:lang w:eastAsia="zh-CN"/>
        </w:rPr>
        <w:t>响应文件</w:t>
      </w:r>
      <w:r>
        <w:rPr>
          <w:rFonts w:hint="eastAsia" w:cs="宋体"/>
          <w:sz w:val="24"/>
          <w:szCs w:val="24"/>
        </w:rPr>
        <w:t>前补办CA锁。</w:t>
      </w:r>
    </w:p>
    <w:p w14:paraId="294228B7">
      <w:pPr>
        <w:spacing w:line="400" w:lineRule="exact"/>
        <w:ind w:firstLine="420"/>
        <w:rPr>
          <w:rFonts w:cs="宋体"/>
          <w:sz w:val="24"/>
          <w:szCs w:val="24"/>
        </w:rPr>
      </w:pPr>
      <w:r>
        <w:rPr>
          <w:rFonts w:hint="eastAsia" w:cs="宋体"/>
          <w:sz w:val="24"/>
          <w:szCs w:val="24"/>
        </w:rPr>
        <w:t>5.企业信息（包括但不限于企业名称和法定代表人信息）发生变更的，须在递交</w:t>
      </w:r>
      <w:r>
        <w:rPr>
          <w:rFonts w:hint="eastAsia" w:cs="宋体"/>
          <w:sz w:val="24"/>
          <w:szCs w:val="24"/>
          <w:lang w:eastAsia="zh-CN"/>
        </w:rPr>
        <w:t>响应文件</w:t>
      </w:r>
      <w:r>
        <w:rPr>
          <w:rFonts w:hint="eastAsia" w:cs="宋体"/>
          <w:sz w:val="24"/>
          <w:szCs w:val="24"/>
        </w:rPr>
        <w:t>前变更CA证书。</w:t>
      </w:r>
    </w:p>
    <w:p w14:paraId="7B18118F">
      <w:pPr>
        <w:spacing w:line="400" w:lineRule="exact"/>
        <w:rPr>
          <w:rFonts w:cs="宋体"/>
          <w:sz w:val="24"/>
          <w:szCs w:val="24"/>
        </w:rPr>
      </w:pPr>
      <w:r>
        <w:rPr>
          <w:rFonts w:hint="eastAsia" w:cs="宋体"/>
          <w:sz w:val="24"/>
          <w:szCs w:val="24"/>
        </w:rPr>
        <w:tab/>
      </w:r>
      <w:r>
        <w:rPr>
          <w:rFonts w:hint="eastAsia" w:cs="宋体"/>
          <w:sz w:val="24"/>
          <w:szCs w:val="24"/>
        </w:rPr>
        <w:t>6.</w:t>
      </w:r>
      <w:r>
        <w:rPr>
          <w:rFonts w:hint="eastAsia"/>
          <w:sz w:val="24"/>
          <w:szCs w:val="24"/>
        </w:rPr>
        <w:t xml:space="preserve"> 供应商</w:t>
      </w:r>
      <w:r>
        <w:rPr>
          <w:rFonts w:hint="eastAsia" w:cs="宋体"/>
          <w:sz w:val="24"/>
          <w:szCs w:val="24"/>
        </w:rPr>
        <w:t>由于CA证书遗失、损坏、更换、续期、企业信息变更等情况导致</w:t>
      </w:r>
      <w:r>
        <w:rPr>
          <w:rFonts w:hint="eastAsia" w:cs="宋体"/>
          <w:sz w:val="24"/>
          <w:szCs w:val="24"/>
          <w:lang w:eastAsia="zh-CN"/>
        </w:rPr>
        <w:t>响应文件</w:t>
      </w:r>
      <w:r>
        <w:rPr>
          <w:rFonts w:hint="eastAsia" w:cs="宋体"/>
          <w:sz w:val="24"/>
          <w:szCs w:val="24"/>
        </w:rPr>
        <w:t>无法解密的，由供应商自行承担责任；</w:t>
      </w:r>
    </w:p>
    <w:p w14:paraId="52DB525D">
      <w:pPr>
        <w:spacing w:line="400" w:lineRule="exact"/>
        <w:ind w:firstLine="480" w:firstLineChars="200"/>
        <w:rPr>
          <w:rFonts w:cs="宋体"/>
          <w:sz w:val="24"/>
          <w:szCs w:val="24"/>
        </w:rPr>
      </w:pPr>
      <w:r>
        <w:rPr>
          <w:rFonts w:hint="eastAsia" w:cs="宋体"/>
          <w:sz w:val="24"/>
          <w:szCs w:val="24"/>
        </w:rPr>
        <w:t>7.加密和解密</w:t>
      </w:r>
      <w:r>
        <w:rPr>
          <w:rFonts w:hint="eastAsia" w:cs="宋体"/>
          <w:sz w:val="24"/>
          <w:szCs w:val="24"/>
          <w:lang w:eastAsia="zh-CN"/>
        </w:rPr>
        <w:t>响应文件</w:t>
      </w:r>
      <w:r>
        <w:rPr>
          <w:rFonts w:hint="eastAsia" w:cs="宋体"/>
          <w:sz w:val="24"/>
          <w:szCs w:val="24"/>
        </w:rPr>
        <w:t>必须使用同一个CA证书。</w:t>
      </w:r>
    </w:p>
    <w:p w14:paraId="40731145">
      <w:pPr>
        <w:spacing w:line="400" w:lineRule="exact"/>
        <w:ind w:firstLine="480" w:firstLineChars="200"/>
        <w:rPr>
          <w:rFonts w:hint="eastAsia" w:eastAsia="宋体" w:cs="宋体"/>
          <w:sz w:val="24"/>
          <w:szCs w:val="24"/>
          <w:lang w:eastAsia="zh-CN"/>
        </w:rPr>
      </w:pPr>
      <w:r>
        <w:rPr>
          <w:rFonts w:hint="eastAsia" w:cs="宋体"/>
          <w:sz w:val="24"/>
          <w:szCs w:val="24"/>
        </w:rPr>
        <w:t>二、制作、签章、加密、上传电子</w:t>
      </w:r>
      <w:r>
        <w:rPr>
          <w:rFonts w:hint="eastAsia" w:cs="宋体"/>
          <w:sz w:val="24"/>
          <w:szCs w:val="24"/>
          <w:lang w:eastAsia="zh-CN"/>
        </w:rPr>
        <w:t>响应文件</w:t>
      </w:r>
    </w:p>
    <w:p w14:paraId="51628CE2">
      <w:pPr>
        <w:spacing w:line="400" w:lineRule="exact"/>
        <w:ind w:firstLine="480" w:firstLineChars="200"/>
        <w:rPr>
          <w:rStyle w:val="31"/>
          <w:rFonts w:cs="宋体"/>
          <w:color w:val="auto"/>
          <w:sz w:val="24"/>
          <w:szCs w:val="24"/>
        </w:rPr>
      </w:pPr>
      <w:r>
        <w:rPr>
          <w:rFonts w:hint="eastAsia" w:cs="宋体"/>
          <w:sz w:val="24"/>
          <w:szCs w:val="24"/>
        </w:rPr>
        <w:t>8.本项目采用全流程电子化招标采购方式，潜在供应商需使用“优质采投标工具客户端”（以下简称“投标工具”）制作电子</w:t>
      </w:r>
      <w:r>
        <w:rPr>
          <w:rFonts w:hint="eastAsia" w:cs="宋体"/>
          <w:sz w:val="24"/>
          <w:szCs w:val="24"/>
          <w:lang w:eastAsia="zh-CN"/>
        </w:rPr>
        <w:t>响应文件</w:t>
      </w:r>
      <w:r>
        <w:rPr>
          <w:rFonts w:hint="eastAsia" w:cs="宋体"/>
          <w:sz w:val="24"/>
          <w:szCs w:val="24"/>
        </w:rPr>
        <w:t>，投标工具及操作说明下载地址：</w:t>
      </w:r>
      <w:r>
        <w:fldChar w:fldCharType="begin"/>
      </w:r>
      <w:r>
        <w:instrText xml:space="preserve"> HYPERLINK "https://toolcdn.youzhicai.com/tools/BidderTools.zip" </w:instrText>
      </w:r>
      <w:r>
        <w:fldChar w:fldCharType="separate"/>
      </w:r>
      <w:r>
        <w:rPr>
          <w:rStyle w:val="31"/>
          <w:rFonts w:hint="eastAsia" w:cs="宋体"/>
          <w:color w:val="auto"/>
          <w:sz w:val="24"/>
          <w:szCs w:val="24"/>
        </w:rPr>
        <w:t>https://toolcdn.youzhicai.com/tools/BidderTools.zip</w:t>
      </w:r>
      <w:r>
        <w:rPr>
          <w:rStyle w:val="31"/>
          <w:rFonts w:hint="eastAsia" w:cs="宋体"/>
          <w:color w:val="auto"/>
          <w:sz w:val="24"/>
          <w:szCs w:val="24"/>
        </w:rPr>
        <w:fldChar w:fldCharType="end"/>
      </w:r>
      <w:r>
        <w:rPr>
          <w:rStyle w:val="31"/>
          <w:rFonts w:hint="eastAsia" w:cs="宋体"/>
          <w:color w:val="auto"/>
          <w:sz w:val="24"/>
          <w:szCs w:val="24"/>
        </w:rPr>
        <w:t>。</w:t>
      </w:r>
    </w:p>
    <w:p w14:paraId="0952240A">
      <w:pPr>
        <w:spacing w:line="400" w:lineRule="exact"/>
        <w:ind w:firstLine="480" w:firstLineChars="200"/>
        <w:rPr>
          <w:rStyle w:val="31"/>
          <w:rFonts w:cs="宋体"/>
          <w:color w:val="auto"/>
          <w:sz w:val="24"/>
          <w:szCs w:val="24"/>
          <w:u w:val="none"/>
        </w:rPr>
      </w:pPr>
      <w:r>
        <w:rPr>
          <w:rStyle w:val="31"/>
          <w:rFonts w:hint="eastAsia" w:cs="宋体"/>
          <w:color w:val="auto"/>
          <w:sz w:val="24"/>
          <w:szCs w:val="24"/>
          <w:u w:val="none"/>
        </w:rPr>
        <w:tab/>
      </w:r>
      <w:r>
        <w:rPr>
          <w:rStyle w:val="31"/>
          <w:rFonts w:hint="eastAsia" w:cs="宋体"/>
          <w:color w:val="auto"/>
          <w:sz w:val="24"/>
          <w:szCs w:val="24"/>
          <w:u w:val="none"/>
        </w:rPr>
        <w:t>8.1.投标工具建议在window7或windows10操作系统下使用；</w:t>
      </w:r>
    </w:p>
    <w:p w14:paraId="23F117C1">
      <w:pPr>
        <w:spacing w:line="400" w:lineRule="exact"/>
        <w:ind w:firstLine="480" w:firstLineChars="200"/>
        <w:rPr>
          <w:rFonts w:cs="宋体"/>
          <w:bCs/>
          <w:sz w:val="24"/>
          <w:szCs w:val="24"/>
        </w:rPr>
      </w:pPr>
      <w:r>
        <w:rPr>
          <w:rStyle w:val="31"/>
          <w:rFonts w:hint="eastAsia" w:cs="宋体"/>
          <w:color w:val="auto"/>
          <w:sz w:val="24"/>
          <w:szCs w:val="24"/>
          <w:u w:val="none"/>
        </w:rPr>
        <w:tab/>
      </w:r>
      <w:r>
        <w:rPr>
          <w:rStyle w:val="31"/>
          <w:rFonts w:hint="eastAsia" w:cs="宋体"/>
          <w:color w:val="auto"/>
          <w:sz w:val="24"/>
          <w:szCs w:val="24"/>
          <w:u w:val="none"/>
        </w:rPr>
        <w:t>8.2.电子</w:t>
      </w:r>
      <w:r>
        <w:rPr>
          <w:rStyle w:val="31"/>
          <w:rFonts w:hint="eastAsia" w:cs="宋体"/>
          <w:color w:val="auto"/>
          <w:sz w:val="24"/>
          <w:szCs w:val="24"/>
          <w:u w:val="none"/>
          <w:lang w:eastAsia="zh-CN"/>
        </w:rPr>
        <w:t>响应文件</w:t>
      </w:r>
      <w:r>
        <w:rPr>
          <w:rStyle w:val="31"/>
          <w:rFonts w:hint="eastAsia" w:cs="宋体"/>
          <w:color w:val="auto"/>
          <w:sz w:val="24"/>
          <w:szCs w:val="24"/>
          <w:u w:val="none"/>
        </w:rPr>
        <w:t>编制建议使用</w:t>
      </w:r>
      <w:r>
        <w:rPr>
          <w:rFonts w:hint="eastAsia" w:cs="宋体"/>
          <w:sz w:val="24"/>
          <w:szCs w:val="24"/>
        </w:rPr>
        <w:t>office2010版本。</w:t>
      </w:r>
    </w:p>
    <w:p w14:paraId="46839BCE">
      <w:pPr>
        <w:wordWrap w:val="0"/>
        <w:spacing w:line="400" w:lineRule="exact"/>
        <w:rPr>
          <w:rFonts w:cs="宋体"/>
          <w:bCs/>
          <w:sz w:val="24"/>
          <w:szCs w:val="24"/>
          <w:u w:val="single"/>
        </w:rPr>
      </w:pPr>
      <w:r>
        <w:rPr>
          <w:rFonts w:hint="eastAsia" w:cs="宋体"/>
          <w:sz w:val="24"/>
          <w:szCs w:val="24"/>
        </w:rPr>
        <w:tab/>
      </w:r>
      <w:r>
        <w:rPr>
          <w:rFonts w:hint="eastAsia" w:cs="宋体"/>
          <w:sz w:val="24"/>
          <w:szCs w:val="24"/>
        </w:rPr>
        <w:t>9.潜在供应商制作电子</w:t>
      </w:r>
      <w:r>
        <w:rPr>
          <w:rFonts w:hint="eastAsia" w:cs="宋体"/>
          <w:sz w:val="24"/>
          <w:szCs w:val="24"/>
          <w:lang w:eastAsia="zh-CN"/>
        </w:rPr>
        <w:t>响应文件</w:t>
      </w:r>
      <w:r>
        <w:rPr>
          <w:rFonts w:hint="eastAsia" w:cs="宋体"/>
          <w:sz w:val="24"/>
          <w:szCs w:val="24"/>
        </w:rPr>
        <w:t>后，需在投标工具对电子</w:t>
      </w:r>
      <w:r>
        <w:rPr>
          <w:rFonts w:hint="eastAsia" w:cs="宋体"/>
          <w:sz w:val="24"/>
          <w:szCs w:val="24"/>
          <w:lang w:eastAsia="zh-CN"/>
        </w:rPr>
        <w:t>响应文件</w:t>
      </w:r>
      <w:r>
        <w:rPr>
          <w:rFonts w:hint="eastAsia" w:cs="宋体"/>
          <w:sz w:val="24"/>
          <w:szCs w:val="24"/>
        </w:rPr>
        <w:t>进行电子签章（项目有特殊说明的除外），并使用CA证书进行加密。在投标工具使用CA证书时需安装“优质采数字证书助手” （即数字证书驱动），下载地址：</w:t>
      </w:r>
      <w:r>
        <w:fldChar w:fldCharType="begin"/>
      </w:r>
      <w:r>
        <w:instrText xml:space="preserve"> HYPERLINK "https://toolcdn.youzhicai.com/ca.zip" </w:instrText>
      </w:r>
      <w:r>
        <w:fldChar w:fldCharType="separate"/>
      </w:r>
      <w:r>
        <w:rPr>
          <w:rStyle w:val="31"/>
          <w:rFonts w:hint="eastAsia" w:cs="宋体"/>
          <w:color w:val="auto"/>
          <w:sz w:val="24"/>
          <w:szCs w:val="24"/>
        </w:rPr>
        <w:t>https://toolcdn.youzhicai.com/ca.zip</w:t>
      </w:r>
      <w:r>
        <w:rPr>
          <w:rStyle w:val="31"/>
          <w:rFonts w:hint="eastAsia" w:cs="宋体"/>
          <w:color w:val="auto"/>
          <w:sz w:val="24"/>
          <w:szCs w:val="24"/>
        </w:rPr>
        <w:fldChar w:fldCharType="end"/>
      </w:r>
      <w:r>
        <w:rPr>
          <w:rStyle w:val="31"/>
          <w:rFonts w:hint="eastAsia" w:cs="宋体"/>
          <w:color w:val="auto"/>
          <w:sz w:val="24"/>
          <w:szCs w:val="24"/>
        </w:rPr>
        <w:t>。</w:t>
      </w:r>
    </w:p>
    <w:p w14:paraId="63D2EF35">
      <w:pPr>
        <w:wordWrap w:val="0"/>
        <w:spacing w:line="400" w:lineRule="exact"/>
        <w:rPr>
          <w:rFonts w:cs="宋体"/>
          <w:sz w:val="24"/>
          <w:szCs w:val="24"/>
        </w:rPr>
      </w:pPr>
      <w:r>
        <w:rPr>
          <w:rFonts w:hint="eastAsia" w:cs="宋体"/>
          <w:sz w:val="24"/>
          <w:szCs w:val="24"/>
        </w:rPr>
        <w:tab/>
      </w:r>
      <w:r>
        <w:rPr>
          <w:rFonts w:hint="eastAsia" w:cs="宋体"/>
          <w:sz w:val="24"/>
          <w:szCs w:val="24"/>
        </w:rPr>
        <w:t>10.潜在供应商完成制作、签章、加密</w:t>
      </w:r>
      <w:r>
        <w:rPr>
          <w:rFonts w:hint="eastAsia" w:cs="宋体"/>
          <w:sz w:val="24"/>
          <w:szCs w:val="24"/>
          <w:lang w:eastAsia="zh-CN"/>
        </w:rPr>
        <w:t>响应文件</w:t>
      </w:r>
      <w:r>
        <w:rPr>
          <w:rFonts w:hint="eastAsia" w:cs="宋体"/>
          <w:sz w:val="24"/>
          <w:szCs w:val="24"/>
        </w:rPr>
        <w:t>后，需在</w:t>
      </w:r>
      <w:r>
        <w:rPr>
          <w:rFonts w:hint="eastAsia" w:cs="宋体"/>
          <w:sz w:val="24"/>
          <w:szCs w:val="24"/>
          <w:lang w:eastAsia="zh-CN"/>
        </w:rPr>
        <w:t>磋商文件</w:t>
      </w:r>
      <w:r>
        <w:rPr>
          <w:rFonts w:hint="eastAsia" w:cs="宋体"/>
          <w:sz w:val="24"/>
          <w:szCs w:val="24"/>
        </w:rPr>
        <w:t>规定的投标截止时间前在投标工具完成上传。投标截止时间以优质采云采购平台（</w:t>
      </w:r>
      <w:r>
        <w:rPr>
          <w:rFonts w:cs="宋体"/>
          <w:sz w:val="24"/>
          <w:szCs w:val="24"/>
        </w:rPr>
        <w:t>http://www.youzhicai.com/</w:t>
      </w:r>
      <w:r>
        <w:rPr>
          <w:rFonts w:hint="eastAsia" w:cs="宋体"/>
          <w:sz w:val="24"/>
          <w:szCs w:val="24"/>
        </w:rPr>
        <w:t>）系统的时间为准，如未在投标截止时间前完成电子</w:t>
      </w:r>
      <w:r>
        <w:rPr>
          <w:rFonts w:hint="eastAsia" w:cs="宋体"/>
          <w:sz w:val="24"/>
          <w:szCs w:val="24"/>
          <w:lang w:eastAsia="zh-CN"/>
        </w:rPr>
        <w:t>响应文件</w:t>
      </w:r>
      <w:r>
        <w:rPr>
          <w:rFonts w:hint="eastAsia" w:cs="宋体"/>
          <w:sz w:val="24"/>
          <w:szCs w:val="24"/>
        </w:rPr>
        <w:t>上传，系统将自动关闭上传通道。潜在供应商未完成电子</w:t>
      </w:r>
      <w:r>
        <w:rPr>
          <w:rFonts w:hint="eastAsia" w:cs="宋体"/>
          <w:sz w:val="24"/>
          <w:szCs w:val="24"/>
          <w:lang w:eastAsia="zh-CN"/>
        </w:rPr>
        <w:t>响应文件</w:t>
      </w:r>
      <w:r>
        <w:rPr>
          <w:rFonts w:hint="eastAsia" w:cs="宋体"/>
          <w:sz w:val="24"/>
          <w:szCs w:val="24"/>
        </w:rPr>
        <w:t>上传的，视为没有递交</w:t>
      </w:r>
      <w:r>
        <w:rPr>
          <w:rFonts w:hint="eastAsia" w:cs="宋体"/>
          <w:sz w:val="24"/>
          <w:szCs w:val="24"/>
          <w:lang w:eastAsia="zh-CN"/>
        </w:rPr>
        <w:t>响应文件</w:t>
      </w:r>
      <w:r>
        <w:rPr>
          <w:rFonts w:hint="eastAsia" w:cs="宋体"/>
          <w:sz w:val="24"/>
          <w:szCs w:val="24"/>
        </w:rPr>
        <w:t>。</w:t>
      </w:r>
    </w:p>
    <w:p w14:paraId="0EAD5B99">
      <w:pPr>
        <w:wordWrap w:val="0"/>
        <w:spacing w:line="400" w:lineRule="exact"/>
        <w:ind w:firstLine="420"/>
        <w:rPr>
          <w:rFonts w:cs="宋体"/>
          <w:sz w:val="24"/>
          <w:szCs w:val="24"/>
        </w:rPr>
      </w:pPr>
      <w:r>
        <w:rPr>
          <w:rFonts w:hint="eastAsia" w:cs="宋体"/>
          <w:sz w:val="24"/>
          <w:szCs w:val="24"/>
        </w:rPr>
        <w:t>11.潜在供应商在</w:t>
      </w:r>
      <w:r>
        <w:rPr>
          <w:rFonts w:hint="eastAsia" w:cs="宋体"/>
          <w:sz w:val="24"/>
          <w:szCs w:val="24"/>
          <w:lang w:eastAsia="zh-CN"/>
        </w:rPr>
        <w:t>响应文件</w:t>
      </w:r>
      <w:r>
        <w:rPr>
          <w:rFonts w:hint="eastAsia" w:cs="宋体"/>
          <w:sz w:val="24"/>
          <w:szCs w:val="24"/>
        </w:rPr>
        <w:t>递交截止时间前，可以对其所递交的电子</w:t>
      </w:r>
      <w:r>
        <w:rPr>
          <w:rFonts w:hint="eastAsia" w:cs="宋体"/>
          <w:sz w:val="24"/>
          <w:szCs w:val="24"/>
          <w:lang w:eastAsia="zh-CN"/>
        </w:rPr>
        <w:t>响应文件</w:t>
      </w:r>
      <w:r>
        <w:rPr>
          <w:rFonts w:hint="eastAsia" w:cs="宋体"/>
          <w:sz w:val="24"/>
          <w:szCs w:val="24"/>
        </w:rPr>
        <w:t>进行撤回，修改后重新上传。</w:t>
      </w:r>
    </w:p>
    <w:p w14:paraId="5012CD95">
      <w:pPr>
        <w:spacing w:line="400" w:lineRule="exact"/>
        <w:ind w:firstLine="480" w:firstLineChars="200"/>
        <w:rPr>
          <w:rFonts w:cs="宋体"/>
          <w:sz w:val="24"/>
          <w:szCs w:val="24"/>
        </w:rPr>
      </w:pPr>
      <w:r>
        <w:rPr>
          <w:rFonts w:hint="eastAsia" w:cs="宋体"/>
          <w:sz w:val="24"/>
          <w:szCs w:val="24"/>
        </w:rPr>
        <w:t>12.潜在供应商在制作、签章、加密、上传电子</w:t>
      </w:r>
      <w:r>
        <w:rPr>
          <w:rFonts w:hint="eastAsia" w:cs="宋体"/>
          <w:sz w:val="24"/>
          <w:szCs w:val="24"/>
          <w:lang w:eastAsia="zh-CN"/>
        </w:rPr>
        <w:t>响应文件</w:t>
      </w:r>
      <w:r>
        <w:rPr>
          <w:rFonts w:hint="eastAsia" w:cs="宋体"/>
          <w:sz w:val="24"/>
          <w:szCs w:val="24"/>
        </w:rPr>
        <w:t>过程中，若存在技术操作问题，请及时联系优质采云采购平台客服人员，客服电话：400-0099-555，0551-62220164。</w:t>
      </w:r>
    </w:p>
    <w:p w14:paraId="0BE5FFE6">
      <w:pPr>
        <w:spacing w:line="400" w:lineRule="exact"/>
        <w:ind w:firstLine="480" w:firstLineChars="200"/>
        <w:rPr>
          <w:rFonts w:cs="宋体"/>
          <w:sz w:val="24"/>
          <w:szCs w:val="24"/>
        </w:rPr>
      </w:pPr>
      <w:r>
        <w:rPr>
          <w:rFonts w:hint="eastAsia" w:cs="宋体"/>
          <w:sz w:val="24"/>
          <w:szCs w:val="24"/>
        </w:rPr>
        <w:t>三、开标和解密</w:t>
      </w:r>
    </w:p>
    <w:p w14:paraId="568140CC">
      <w:pPr>
        <w:spacing w:line="400" w:lineRule="exact"/>
        <w:ind w:firstLine="480" w:firstLineChars="200"/>
        <w:rPr>
          <w:rFonts w:cs="宋体"/>
          <w:sz w:val="24"/>
          <w:szCs w:val="24"/>
        </w:rPr>
      </w:pPr>
      <w:r>
        <w:rPr>
          <w:rFonts w:hint="eastAsia" w:cs="宋体"/>
          <w:sz w:val="24"/>
          <w:szCs w:val="24"/>
        </w:rPr>
        <w:t>13.</w:t>
      </w:r>
      <w:r>
        <w:rPr>
          <w:rFonts w:hint="eastAsia"/>
          <w:sz w:val="24"/>
          <w:szCs w:val="24"/>
          <w:lang w:eastAsia="zh-CN"/>
        </w:rPr>
        <w:t>业主单位</w:t>
      </w:r>
      <w:r>
        <w:rPr>
          <w:rFonts w:hint="eastAsia" w:cs="宋体"/>
          <w:sz w:val="24"/>
          <w:szCs w:val="24"/>
        </w:rPr>
        <w:t>或代理机构工作人员（以下简称工作人员）根据有关规定登录系统组织开标。</w:t>
      </w:r>
      <w:r>
        <w:rPr>
          <w:rFonts w:hint="eastAsia" w:cs="宋体"/>
          <w:sz w:val="24"/>
          <w:szCs w:val="24"/>
          <w:lang w:eastAsia="zh-CN"/>
        </w:rPr>
        <w:t>响应文件</w:t>
      </w:r>
      <w:r>
        <w:rPr>
          <w:rFonts w:hint="eastAsia" w:cs="宋体"/>
          <w:sz w:val="24"/>
          <w:szCs w:val="24"/>
        </w:rPr>
        <w:t>递交截止时间后由供应商使用CA证书解密</w:t>
      </w:r>
      <w:r>
        <w:rPr>
          <w:rFonts w:hint="eastAsia" w:cs="宋体"/>
          <w:sz w:val="24"/>
          <w:szCs w:val="24"/>
          <w:lang w:eastAsia="zh-CN"/>
        </w:rPr>
        <w:t>响应文件</w:t>
      </w:r>
      <w:r>
        <w:rPr>
          <w:rFonts w:hint="eastAsia" w:cs="宋体"/>
          <w:sz w:val="24"/>
          <w:szCs w:val="24"/>
        </w:rPr>
        <w:t>，工作人员导入已解密</w:t>
      </w:r>
      <w:r>
        <w:rPr>
          <w:rFonts w:hint="eastAsia" w:cs="宋体"/>
          <w:sz w:val="24"/>
          <w:szCs w:val="24"/>
          <w:lang w:eastAsia="zh-CN"/>
        </w:rPr>
        <w:t>响应文件</w:t>
      </w:r>
      <w:r>
        <w:rPr>
          <w:rFonts w:hint="eastAsia" w:cs="宋体"/>
          <w:sz w:val="24"/>
          <w:szCs w:val="24"/>
        </w:rPr>
        <w:t>并公布开标结果。</w:t>
      </w:r>
    </w:p>
    <w:p w14:paraId="1835202D">
      <w:pPr>
        <w:spacing w:line="400" w:lineRule="exact"/>
        <w:ind w:firstLine="480" w:firstLineChars="200"/>
        <w:rPr>
          <w:rFonts w:cs="宋体"/>
          <w:sz w:val="24"/>
          <w:szCs w:val="24"/>
        </w:rPr>
      </w:pPr>
      <w:r>
        <w:rPr>
          <w:rFonts w:hint="eastAsia" w:cs="宋体"/>
          <w:sz w:val="24"/>
          <w:szCs w:val="24"/>
        </w:rPr>
        <w:t>14.</w:t>
      </w:r>
      <w:r>
        <w:rPr>
          <w:rFonts w:hint="eastAsia" w:cs="宋体"/>
          <w:sz w:val="24"/>
          <w:szCs w:val="24"/>
          <w:lang w:eastAsia="zh-CN"/>
        </w:rPr>
        <w:t>响应文件</w:t>
      </w:r>
      <w:r>
        <w:rPr>
          <w:rFonts w:hint="eastAsia" w:cs="宋体"/>
          <w:sz w:val="24"/>
          <w:szCs w:val="24"/>
        </w:rPr>
        <w:t>可远程解密，供应商无需到达开标现场。</w:t>
      </w:r>
      <w:r>
        <w:rPr>
          <w:rFonts w:hint="eastAsia" w:cs="宋体"/>
          <w:sz w:val="24"/>
          <w:szCs w:val="24"/>
          <w:lang w:eastAsia="zh-CN"/>
        </w:rPr>
        <w:t>磋商文件</w:t>
      </w:r>
      <w:r>
        <w:rPr>
          <w:rFonts w:hint="eastAsia" w:cs="宋体"/>
          <w:sz w:val="24"/>
          <w:szCs w:val="24"/>
        </w:rPr>
        <w:t>“供应商须知”中另有规定的，从其规定。</w:t>
      </w:r>
    </w:p>
    <w:p w14:paraId="4597DB2F">
      <w:pPr>
        <w:spacing w:line="400" w:lineRule="exact"/>
        <w:ind w:firstLine="480" w:firstLineChars="200"/>
        <w:rPr>
          <w:rFonts w:cs="宋体"/>
          <w:sz w:val="24"/>
          <w:szCs w:val="24"/>
        </w:rPr>
      </w:pPr>
      <w:r>
        <w:rPr>
          <w:rFonts w:hint="eastAsia" w:cs="宋体"/>
          <w:sz w:val="24"/>
          <w:szCs w:val="24"/>
        </w:rPr>
        <w:t>15.潜在供应商须按照</w:t>
      </w:r>
      <w:r>
        <w:rPr>
          <w:rFonts w:hint="eastAsia" w:cs="宋体"/>
          <w:sz w:val="24"/>
          <w:szCs w:val="24"/>
          <w:lang w:eastAsia="zh-CN"/>
        </w:rPr>
        <w:t>磋商文件</w:t>
      </w:r>
      <w:r>
        <w:rPr>
          <w:rFonts w:hint="eastAsia" w:cs="宋体"/>
          <w:sz w:val="24"/>
          <w:szCs w:val="24"/>
        </w:rPr>
        <w:t>的要求在</w:t>
      </w:r>
      <w:r>
        <w:rPr>
          <w:rFonts w:hint="eastAsia" w:cs="宋体"/>
          <w:sz w:val="24"/>
          <w:szCs w:val="24"/>
          <w:lang w:eastAsia="zh-CN"/>
        </w:rPr>
        <w:t>响应文件</w:t>
      </w:r>
      <w:r>
        <w:rPr>
          <w:rFonts w:hint="eastAsia" w:cs="宋体"/>
          <w:sz w:val="24"/>
          <w:szCs w:val="24"/>
        </w:rPr>
        <w:t>递交截止时间前登录投标工具并保持在线，关注开标互动大厅消息直至项目评审结束。</w:t>
      </w:r>
    </w:p>
    <w:p w14:paraId="2339249D">
      <w:pPr>
        <w:spacing w:line="400" w:lineRule="exact"/>
        <w:ind w:firstLine="480" w:firstLineChars="200"/>
        <w:rPr>
          <w:rFonts w:cs="宋体"/>
          <w:sz w:val="24"/>
          <w:szCs w:val="24"/>
        </w:rPr>
      </w:pPr>
      <w:r>
        <w:rPr>
          <w:rFonts w:hint="eastAsia" w:cs="宋体"/>
          <w:sz w:val="24"/>
          <w:szCs w:val="24"/>
        </w:rPr>
        <w:t>16.</w:t>
      </w:r>
      <w:r>
        <w:rPr>
          <w:rFonts w:hint="eastAsia" w:cs="宋体"/>
          <w:sz w:val="24"/>
          <w:szCs w:val="24"/>
          <w:lang w:eastAsia="zh-CN"/>
        </w:rPr>
        <w:t>响应文件</w:t>
      </w:r>
      <w:r>
        <w:rPr>
          <w:rFonts w:hint="eastAsia" w:cs="宋体"/>
          <w:sz w:val="24"/>
          <w:szCs w:val="24"/>
        </w:rPr>
        <w:t>解密时限为</w:t>
      </w:r>
      <w:r>
        <w:rPr>
          <w:rFonts w:hint="eastAsia" w:cs="宋体"/>
          <w:sz w:val="24"/>
          <w:szCs w:val="24"/>
          <w:lang w:eastAsia="zh-CN"/>
        </w:rPr>
        <w:t>响应文件</w:t>
      </w:r>
      <w:r>
        <w:rPr>
          <w:rFonts w:hint="eastAsia" w:cs="宋体"/>
          <w:sz w:val="24"/>
          <w:szCs w:val="24"/>
        </w:rPr>
        <w:t>递交截止时间后30分钟（</w:t>
      </w:r>
      <w:r>
        <w:rPr>
          <w:rFonts w:hint="eastAsia" w:cs="宋体"/>
          <w:sz w:val="24"/>
          <w:szCs w:val="24"/>
          <w:lang w:eastAsia="zh-CN"/>
        </w:rPr>
        <w:t>磋商文件</w:t>
      </w:r>
      <w:r>
        <w:rPr>
          <w:rFonts w:hint="eastAsia" w:cs="宋体"/>
          <w:sz w:val="24"/>
          <w:szCs w:val="24"/>
        </w:rPr>
        <w:t>“供应商须知”中另有规定的，从其规定）。潜在供应商须在</w:t>
      </w:r>
      <w:r>
        <w:rPr>
          <w:rFonts w:hint="eastAsia" w:cs="宋体"/>
          <w:sz w:val="24"/>
          <w:szCs w:val="24"/>
          <w:lang w:eastAsia="zh-CN"/>
        </w:rPr>
        <w:t>响应文件</w:t>
      </w:r>
      <w:r>
        <w:rPr>
          <w:rFonts w:hint="eastAsia" w:cs="宋体"/>
          <w:sz w:val="24"/>
          <w:szCs w:val="24"/>
        </w:rPr>
        <w:t>解密时限内完成</w:t>
      </w:r>
      <w:r>
        <w:rPr>
          <w:rFonts w:hint="eastAsia" w:cs="宋体"/>
          <w:sz w:val="24"/>
          <w:szCs w:val="24"/>
          <w:lang w:eastAsia="zh-CN"/>
        </w:rPr>
        <w:t>响应文件</w:t>
      </w:r>
      <w:r>
        <w:rPr>
          <w:rFonts w:hint="eastAsia" w:cs="宋体"/>
          <w:sz w:val="24"/>
          <w:szCs w:val="24"/>
        </w:rPr>
        <w:t>解密，未能成功解密的视为放弃投标。</w:t>
      </w:r>
      <w:r>
        <w:rPr>
          <w:rFonts w:hint="eastAsia" w:cs="宋体"/>
          <w:sz w:val="24"/>
          <w:szCs w:val="24"/>
          <w:lang w:eastAsia="zh-CN"/>
        </w:rPr>
        <w:t>磋商文件</w:t>
      </w:r>
      <w:r>
        <w:rPr>
          <w:rFonts w:hint="eastAsia" w:cs="宋体"/>
          <w:sz w:val="24"/>
          <w:szCs w:val="24"/>
        </w:rPr>
        <w:t>“供应商须知”中对</w:t>
      </w:r>
      <w:r>
        <w:rPr>
          <w:rFonts w:hint="eastAsia" w:cs="宋体"/>
          <w:sz w:val="24"/>
          <w:szCs w:val="24"/>
          <w:lang w:eastAsia="zh-CN"/>
        </w:rPr>
        <w:t>响应文件</w:t>
      </w:r>
      <w:r>
        <w:rPr>
          <w:rFonts w:hint="eastAsia" w:cs="宋体"/>
          <w:sz w:val="24"/>
          <w:szCs w:val="24"/>
        </w:rPr>
        <w:t>解密设有线下补救方案的，执行该补救方案。</w:t>
      </w:r>
    </w:p>
    <w:p w14:paraId="001EEC6D">
      <w:pPr>
        <w:spacing w:line="400" w:lineRule="exact"/>
        <w:ind w:firstLine="480" w:firstLineChars="200"/>
        <w:rPr>
          <w:rFonts w:cs="宋体"/>
          <w:sz w:val="24"/>
          <w:szCs w:val="24"/>
        </w:rPr>
      </w:pPr>
      <w:r>
        <w:rPr>
          <w:rFonts w:hint="eastAsia" w:cs="宋体"/>
          <w:sz w:val="24"/>
          <w:szCs w:val="24"/>
        </w:rPr>
        <w:t>四、评标和询标</w:t>
      </w:r>
    </w:p>
    <w:p w14:paraId="06A26A09">
      <w:pPr>
        <w:spacing w:line="400" w:lineRule="exact"/>
        <w:ind w:firstLine="480" w:firstLineChars="200"/>
        <w:rPr>
          <w:rFonts w:cs="宋体"/>
          <w:sz w:val="24"/>
          <w:szCs w:val="24"/>
        </w:rPr>
      </w:pPr>
      <w:r>
        <w:rPr>
          <w:rFonts w:hint="eastAsia" w:cs="宋体"/>
          <w:sz w:val="24"/>
          <w:szCs w:val="24"/>
        </w:rPr>
        <w:t>17.</w:t>
      </w:r>
      <w:r>
        <w:rPr>
          <w:rFonts w:hint="eastAsia" w:cs="宋体"/>
          <w:sz w:val="24"/>
          <w:szCs w:val="24"/>
          <w:lang w:eastAsia="zh-CN"/>
        </w:rPr>
        <w:t>评审委员会</w:t>
      </w:r>
      <w:r>
        <w:rPr>
          <w:rFonts w:hint="eastAsia" w:cs="宋体"/>
          <w:sz w:val="24"/>
          <w:szCs w:val="24"/>
        </w:rPr>
        <w:t>通过优质采电子评标工具将需要澄清、说明或补正的内容以询标函的形式发送给供应商，供应商应登录投标工具并保持在线状态，以便及时接收</w:t>
      </w:r>
      <w:r>
        <w:rPr>
          <w:rFonts w:hint="eastAsia" w:cs="宋体"/>
          <w:sz w:val="24"/>
          <w:szCs w:val="24"/>
          <w:lang w:eastAsia="zh-CN"/>
        </w:rPr>
        <w:t>评审委员会</w:t>
      </w:r>
      <w:r>
        <w:rPr>
          <w:rFonts w:hint="eastAsia" w:cs="宋体"/>
          <w:sz w:val="24"/>
          <w:szCs w:val="24"/>
        </w:rPr>
        <w:t>可能发出的询标函，并在询标函载明的时间内回复，若供应商未及时回复，视为放弃澄清。</w:t>
      </w:r>
    </w:p>
    <w:p w14:paraId="2A6372E3">
      <w:pPr>
        <w:spacing w:line="400" w:lineRule="exact"/>
        <w:ind w:firstLine="480" w:firstLineChars="200"/>
        <w:rPr>
          <w:rFonts w:cs="宋体"/>
          <w:sz w:val="24"/>
          <w:szCs w:val="24"/>
        </w:rPr>
      </w:pPr>
      <w:r>
        <w:rPr>
          <w:rFonts w:hint="eastAsia" w:cs="宋体"/>
          <w:sz w:val="24"/>
          <w:szCs w:val="24"/>
        </w:rPr>
        <w:t>五、异常情形</w:t>
      </w:r>
    </w:p>
    <w:p w14:paraId="06D9B8A2">
      <w:pPr>
        <w:spacing w:line="400" w:lineRule="exact"/>
        <w:ind w:firstLine="480" w:firstLineChars="200"/>
        <w:rPr>
          <w:rFonts w:cs="宋体"/>
          <w:sz w:val="24"/>
          <w:szCs w:val="24"/>
        </w:rPr>
      </w:pPr>
      <w:r>
        <w:rPr>
          <w:rFonts w:hint="eastAsia" w:cs="宋体"/>
          <w:sz w:val="24"/>
          <w:szCs w:val="24"/>
        </w:rPr>
        <w:t>18.出现下列情形导致电子交易系统无法正常运行，影响招投标过程的公平、公正和信息安全，经第三方机构认定后，各方当事人免责：</w:t>
      </w:r>
    </w:p>
    <w:p w14:paraId="285FAE71">
      <w:pPr>
        <w:spacing w:line="400" w:lineRule="exact"/>
        <w:ind w:firstLine="480" w:firstLineChars="200"/>
        <w:rPr>
          <w:rFonts w:cs="宋体"/>
          <w:sz w:val="24"/>
          <w:szCs w:val="24"/>
        </w:rPr>
      </w:pPr>
      <w:r>
        <w:rPr>
          <w:rFonts w:hint="eastAsia" w:cs="宋体"/>
          <w:sz w:val="24"/>
          <w:szCs w:val="24"/>
        </w:rPr>
        <w:t>(1)网络、服务器、数据库发生故障造成无法访问或使用的；</w:t>
      </w:r>
    </w:p>
    <w:p w14:paraId="4418EC06">
      <w:pPr>
        <w:spacing w:line="400" w:lineRule="exact"/>
        <w:ind w:firstLine="480" w:firstLineChars="200"/>
        <w:rPr>
          <w:rFonts w:cs="宋体"/>
          <w:sz w:val="24"/>
          <w:szCs w:val="24"/>
        </w:rPr>
      </w:pPr>
      <w:r>
        <w:rPr>
          <w:rFonts w:hint="eastAsia" w:cs="宋体"/>
          <w:sz w:val="24"/>
          <w:szCs w:val="24"/>
        </w:rPr>
        <w:t>(2)电力系统发生故障导致电子服务系统或电子交易系统无法运行；</w:t>
      </w:r>
    </w:p>
    <w:p w14:paraId="47715102">
      <w:pPr>
        <w:spacing w:line="400" w:lineRule="exact"/>
        <w:ind w:firstLine="480" w:firstLineChars="200"/>
        <w:rPr>
          <w:rFonts w:cs="宋体"/>
          <w:sz w:val="24"/>
          <w:szCs w:val="24"/>
        </w:rPr>
      </w:pPr>
      <w:r>
        <w:rPr>
          <w:rFonts w:hint="eastAsia" w:cs="宋体"/>
          <w:sz w:val="24"/>
          <w:szCs w:val="24"/>
        </w:rPr>
        <w:t>(3)出现网络攻击、病毒入侵以及电子服务系统或电子交易系统安全漏洞导致无法正常提供服务的；</w:t>
      </w:r>
    </w:p>
    <w:p w14:paraId="3C2575EE">
      <w:pPr>
        <w:spacing w:line="400" w:lineRule="exact"/>
        <w:ind w:firstLine="480" w:firstLineChars="200"/>
        <w:rPr>
          <w:rFonts w:cs="宋体"/>
          <w:sz w:val="24"/>
          <w:szCs w:val="24"/>
        </w:rPr>
      </w:pPr>
      <w:r>
        <w:rPr>
          <w:rFonts w:hint="eastAsia" w:cs="宋体"/>
          <w:sz w:val="24"/>
          <w:szCs w:val="24"/>
        </w:rPr>
        <w:t>(4)其他无法保证招投标过程公平、公正和信息安全的情形。</w:t>
      </w:r>
    </w:p>
    <w:p w14:paraId="180E8E3A">
      <w:pPr>
        <w:spacing w:line="400" w:lineRule="exact"/>
        <w:ind w:firstLine="480" w:firstLineChars="200"/>
        <w:rPr>
          <w:rFonts w:cs="宋体"/>
          <w:sz w:val="24"/>
          <w:szCs w:val="24"/>
        </w:rPr>
      </w:pPr>
      <w:r>
        <w:rPr>
          <w:rFonts w:hint="eastAsia" w:cs="宋体"/>
          <w:sz w:val="24"/>
          <w:szCs w:val="24"/>
        </w:rPr>
        <w:t>六、异常情形处理</w:t>
      </w:r>
    </w:p>
    <w:p w14:paraId="5195A1D6">
      <w:pPr>
        <w:spacing w:line="400" w:lineRule="exact"/>
        <w:ind w:firstLine="480" w:firstLineChars="200"/>
        <w:rPr>
          <w:rFonts w:cs="宋体"/>
          <w:sz w:val="24"/>
          <w:szCs w:val="24"/>
        </w:rPr>
      </w:pPr>
      <w:r>
        <w:rPr>
          <w:rFonts w:hint="eastAsia" w:cs="宋体"/>
          <w:sz w:val="24"/>
          <w:szCs w:val="24"/>
        </w:rPr>
        <w:t>19.出现上述情形，优质采平台及时组织相关方查明原因，排除故障。若能保证在开标前恢复系统运行的，招投标程序继续进行；若导致开评标程序无法按时开展，但能在原开标时间后2小时内恢复系统运行的，招投标程序继续进行；若导致开评标程序无法按时开展，在原开标时间后2小时内无法恢复系统运行的，按以下程序操作：</w:t>
      </w:r>
    </w:p>
    <w:p w14:paraId="12921EBD">
      <w:pPr>
        <w:spacing w:line="400" w:lineRule="exact"/>
        <w:ind w:firstLine="480" w:firstLineChars="200"/>
        <w:rPr>
          <w:rFonts w:cs="宋体"/>
          <w:sz w:val="24"/>
          <w:szCs w:val="24"/>
        </w:rPr>
      </w:pPr>
      <w:r>
        <w:rPr>
          <w:rFonts w:hint="eastAsia" w:cs="宋体"/>
          <w:sz w:val="24"/>
          <w:szCs w:val="24"/>
        </w:rPr>
        <w:t>（1）项目中止，中止期限由</w:t>
      </w:r>
      <w:r>
        <w:rPr>
          <w:rFonts w:hint="eastAsia"/>
          <w:sz w:val="24"/>
          <w:szCs w:val="24"/>
          <w:lang w:eastAsia="zh-CN"/>
        </w:rPr>
        <w:t>业主单位</w:t>
      </w:r>
      <w:r>
        <w:rPr>
          <w:rFonts w:hint="eastAsia" w:cs="宋体"/>
          <w:sz w:val="24"/>
          <w:szCs w:val="24"/>
        </w:rPr>
        <w:t>或代理机构根据项目具体情况确定。中止期限届满后中止情形尚未消除的，</w:t>
      </w:r>
      <w:r>
        <w:rPr>
          <w:rFonts w:hint="eastAsia"/>
          <w:sz w:val="24"/>
          <w:szCs w:val="24"/>
          <w:lang w:eastAsia="zh-CN"/>
        </w:rPr>
        <w:t>业主单位</w:t>
      </w:r>
      <w:r>
        <w:rPr>
          <w:rFonts w:hint="eastAsia" w:cs="宋体"/>
          <w:sz w:val="24"/>
          <w:szCs w:val="24"/>
        </w:rPr>
        <w:t>或代理机构可以根据实际情况决定延长中止期限。决定延长中止期限的，应向供应商发出延长中止期限通知，并发布公布。</w:t>
      </w:r>
    </w:p>
    <w:p w14:paraId="11C5411D">
      <w:pPr>
        <w:spacing w:line="400" w:lineRule="exact"/>
        <w:ind w:firstLine="480" w:firstLineChars="200"/>
        <w:rPr>
          <w:rFonts w:cs="宋体"/>
        </w:rPr>
      </w:pPr>
      <w:r>
        <w:rPr>
          <w:rFonts w:hint="eastAsia" w:cs="宋体"/>
          <w:sz w:val="24"/>
          <w:szCs w:val="24"/>
        </w:rPr>
        <w:t>（2）项目恢复，导致项目中止的情形消除后，</w:t>
      </w:r>
      <w:r>
        <w:rPr>
          <w:rFonts w:hint="eastAsia"/>
          <w:sz w:val="24"/>
          <w:szCs w:val="24"/>
          <w:lang w:eastAsia="zh-CN"/>
        </w:rPr>
        <w:t>业主单位</w:t>
      </w:r>
      <w:r>
        <w:rPr>
          <w:rFonts w:hint="eastAsia" w:cs="宋体"/>
          <w:sz w:val="24"/>
          <w:szCs w:val="24"/>
        </w:rPr>
        <w:t>或代理机构应当尽快恢复招投标程序，向供应商发出恢复交易通知，并发布公布；已发出延长中止期限通知的，按通知执行。</w:t>
      </w:r>
    </w:p>
    <w:p w14:paraId="17FE7747"/>
    <w:sectPr>
      <w:headerReference r:id="rId7" w:type="default"/>
      <w:footerReference r:id="rId8" w:type="default"/>
      <w:pgSz w:w="11906" w:h="16838"/>
      <w:pgMar w:top="1440" w:right="1800" w:bottom="1440" w:left="1800" w:header="851" w:footer="992"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09796D">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96615">
    <w:pPr>
      <w:pStyle w:val="12"/>
      <w:jc w:val="center"/>
      <w:rPr>
        <w:sz w:val="21"/>
        <w:szCs w:val="21"/>
      </w:rPr>
    </w:pPr>
    <w:r>
      <w:rPr>
        <w:rFonts w:hint="eastAsia"/>
        <w:sz w:val="21"/>
        <w:szCs w:val="21"/>
      </w:rPr>
      <w:t>第</w:t>
    </w:r>
    <w:r>
      <w:rPr>
        <w:sz w:val="21"/>
        <w:szCs w:val="21"/>
        <w:lang w:val="zh-CN"/>
      </w:rPr>
      <w:t xml:space="preserve"> </w:t>
    </w:r>
    <w:r>
      <w:rPr>
        <w:b/>
        <w:bCs/>
        <w:sz w:val="21"/>
        <w:szCs w:val="21"/>
      </w:rPr>
      <w:fldChar w:fldCharType="begin"/>
    </w:r>
    <w:r>
      <w:rPr>
        <w:b/>
        <w:bCs/>
        <w:sz w:val="21"/>
        <w:szCs w:val="21"/>
      </w:rPr>
      <w:instrText xml:space="preserve">PAGE</w:instrText>
    </w:r>
    <w:r>
      <w:rPr>
        <w:b/>
        <w:bCs/>
        <w:sz w:val="21"/>
        <w:szCs w:val="21"/>
      </w:rPr>
      <w:fldChar w:fldCharType="separate"/>
    </w:r>
    <w:r>
      <w:rPr>
        <w:b/>
        <w:bCs/>
        <w:sz w:val="21"/>
        <w:szCs w:val="21"/>
      </w:rPr>
      <w:t>1</w:t>
    </w:r>
    <w:r>
      <w:rPr>
        <w:b/>
        <w:bCs/>
        <w:sz w:val="21"/>
        <w:szCs w:val="21"/>
      </w:rPr>
      <w:fldChar w:fldCharType="end"/>
    </w:r>
    <w:r>
      <w:rPr>
        <w:rFonts w:hint="eastAsia"/>
        <w:bCs/>
        <w:sz w:val="21"/>
        <w:szCs w:val="21"/>
      </w:rPr>
      <w:t xml:space="preserve"> 页/共 </w:t>
    </w:r>
    <w:r>
      <w:rPr>
        <w:b/>
        <w:bCs/>
        <w:sz w:val="21"/>
        <w:szCs w:val="21"/>
      </w:rPr>
      <w:fldChar w:fldCharType="begin"/>
    </w:r>
    <w:r>
      <w:rPr>
        <w:b/>
        <w:bCs/>
        <w:sz w:val="21"/>
        <w:szCs w:val="21"/>
      </w:rPr>
      <w:instrText xml:space="preserve"> </w:instrText>
    </w:r>
    <w:r>
      <w:rPr>
        <w:rFonts w:hint="eastAsia"/>
        <w:b/>
        <w:bCs/>
        <w:sz w:val="21"/>
        <w:szCs w:val="21"/>
      </w:rPr>
      <w:instrText xml:space="preserve">=</w:instrText>
    </w:r>
    <w:r>
      <w:rPr>
        <w:b/>
        <w:bCs/>
        <w:sz w:val="21"/>
        <w:szCs w:val="21"/>
      </w:rPr>
      <w:fldChar w:fldCharType="begin"/>
    </w:r>
    <w:r>
      <w:rPr>
        <w:b/>
        <w:bCs/>
        <w:sz w:val="21"/>
        <w:szCs w:val="21"/>
      </w:rPr>
      <w:instrText xml:space="preserve">NUMPAGES</w:instrText>
    </w:r>
    <w:r>
      <w:rPr>
        <w:b/>
        <w:bCs/>
        <w:sz w:val="21"/>
        <w:szCs w:val="21"/>
      </w:rPr>
      <w:fldChar w:fldCharType="separate"/>
    </w:r>
    <w:r>
      <w:rPr>
        <w:b/>
        <w:bCs/>
        <w:sz w:val="21"/>
        <w:szCs w:val="21"/>
      </w:rPr>
      <w:instrText xml:space="preserve">42</w:instrText>
    </w:r>
    <w:r>
      <w:rPr>
        <w:b/>
        <w:bCs/>
        <w:sz w:val="21"/>
        <w:szCs w:val="21"/>
      </w:rPr>
      <w:fldChar w:fldCharType="end"/>
    </w:r>
    <w:r>
      <w:rPr>
        <w:rFonts w:hint="eastAsia"/>
        <w:b/>
        <w:bCs/>
        <w:sz w:val="21"/>
        <w:szCs w:val="21"/>
      </w:rPr>
      <w:instrText xml:space="preserve">-2</w:instrText>
    </w:r>
    <w:r>
      <w:rPr>
        <w:b/>
        <w:bCs/>
        <w:sz w:val="21"/>
        <w:szCs w:val="21"/>
      </w:rPr>
      <w:instrText xml:space="preserve"> </w:instrText>
    </w:r>
    <w:r>
      <w:rPr>
        <w:b/>
        <w:bCs/>
        <w:sz w:val="21"/>
        <w:szCs w:val="21"/>
      </w:rPr>
      <w:fldChar w:fldCharType="separate"/>
    </w:r>
    <w:r>
      <w:rPr>
        <w:b/>
        <w:bCs/>
        <w:sz w:val="21"/>
        <w:szCs w:val="21"/>
      </w:rPr>
      <w:t>40</w:t>
    </w:r>
    <w:r>
      <w:rPr>
        <w:b/>
        <w:bCs/>
        <w:sz w:val="21"/>
        <w:szCs w:val="21"/>
      </w:rPr>
      <w:fldChar w:fldCharType="end"/>
    </w:r>
    <w:r>
      <w:rPr>
        <w:rFonts w:hint="eastAsia"/>
        <w:bCs/>
        <w:sz w:val="21"/>
        <w:szCs w:val="21"/>
      </w:rPr>
      <w:t xml:space="preserve"> 页</w:t>
    </w:r>
  </w:p>
  <w:p w14:paraId="6674DDC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footnote>
  <w:footnote w:type="continuationSeparator" w:id="3">
    <w:p/>
  </w:footnote>
  <w:footnote w:id="0">
    <w:p w14:paraId="10388044">
      <w:pPr>
        <w:pStyle w:val="16"/>
      </w:pPr>
      <w:r>
        <w:rPr>
          <w:rStyle w:val="35"/>
        </w:rPr>
        <w:footnoteRef/>
      </w:r>
      <w:r>
        <w:rPr>
          <w:rFonts w:hint="eastAsia"/>
        </w:rPr>
        <w:t>解密、询标时间可以根据项目情况予以调整。其他内容如需调整，请联系优质采后予以办理。</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F00E4">
    <w:pPr>
      <w:pStyle w:val="13"/>
      <w:jc w:val="left"/>
    </w:pPr>
    <w:r>
      <w:rPr>
        <w:rFonts w:hint="eastAsia"/>
      </w:rPr>
      <w:t>磋商文件——工程</w:t>
    </w:r>
    <w:r>
      <w:rPr>
        <w:rFonts w:hint="eastAsia"/>
        <w:lang w:val="en-US" w:eastAsia="zh-CN"/>
      </w:rPr>
      <w:t>服务</w:t>
    </w:r>
    <w:r>
      <w:rPr>
        <w:rFonts w:hint="eastAsia"/>
      </w:rPr>
      <w:t>类</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6E8C28">
    <w:pPr>
      <w:pStyle w:val="13"/>
      <w:jc w:val="left"/>
    </w:pPr>
    <w:r>
      <w:rPr>
        <w:rFonts w:hint="eastAsia"/>
      </w:rPr>
      <w:t>磋商文件——</w:t>
    </w:r>
    <w:r>
      <w:rPr>
        <w:rFonts w:hint="eastAsia"/>
        <w:lang w:val="en-US" w:eastAsia="zh-CN"/>
      </w:rPr>
      <w:t>服务</w:t>
    </w:r>
    <w:r>
      <w:rPr>
        <w:rFonts w:hint="eastAsia"/>
      </w:rPr>
      <w:t>类</w:t>
    </w:r>
  </w:p>
  <w:p w14:paraId="479E072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CBF2FE"/>
    <w:multiLevelType w:val="singleLevel"/>
    <w:tmpl w:val="8FCBF2FE"/>
    <w:lvl w:ilvl="0" w:tentative="0">
      <w:start w:val="1"/>
      <w:numFmt w:val="decimal"/>
      <w:pStyle w:val="44"/>
      <w:suff w:val="nothing"/>
      <w:lvlText w:val="%1、"/>
      <w:lvlJc w:val="left"/>
    </w:lvl>
  </w:abstractNum>
  <w:abstractNum w:abstractNumId="1">
    <w:nsid w:val="DB5F7422"/>
    <w:multiLevelType w:val="singleLevel"/>
    <w:tmpl w:val="DB5F7422"/>
    <w:lvl w:ilvl="0" w:tentative="0">
      <w:start w:val="1"/>
      <w:numFmt w:val="decimal"/>
      <w:suff w:val="nothing"/>
      <w:lvlText w:val="（%1）"/>
      <w:lvlJc w:val="left"/>
    </w:lvl>
  </w:abstractNum>
  <w:abstractNum w:abstractNumId="2">
    <w:nsid w:val="13710A93"/>
    <w:multiLevelType w:val="singleLevel"/>
    <w:tmpl w:val="13710A93"/>
    <w:lvl w:ilvl="0" w:tentative="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wYTNmMzNhN2I0OTQwZDBhOGI4NGMyZmUxM2FiNmIifQ=="/>
    <w:docVar w:name="KSO_WPS_MARK_KEY" w:val="b4a657c8-bdcf-4def-bdd7-0ff22f270f94"/>
  </w:docVars>
  <w:rsids>
    <w:rsidRoot w:val="00172A27"/>
    <w:rsid w:val="0000355A"/>
    <w:rsid w:val="00005ACA"/>
    <w:rsid w:val="00011CCC"/>
    <w:rsid w:val="0003360B"/>
    <w:rsid w:val="00034619"/>
    <w:rsid w:val="00043DE5"/>
    <w:rsid w:val="000553E9"/>
    <w:rsid w:val="00067793"/>
    <w:rsid w:val="000B0FA0"/>
    <w:rsid w:val="000B5A54"/>
    <w:rsid w:val="000C13FB"/>
    <w:rsid w:val="000C2310"/>
    <w:rsid w:val="000C30C1"/>
    <w:rsid w:val="000C3231"/>
    <w:rsid w:val="000E0735"/>
    <w:rsid w:val="000E69E5"/>
    <w:rsid w:val="000F4116"/>
    <w:rsid w:val="00103445"/>
    <w:rsid w:val="00107AF1"/>
    <w:rsid w:val="00123CD9"/>
    <w:rsid w:val="00132C8A"/>
    <w:rsid w:val="00134BCE"/>
    <w:rsid w:val="001439C0"/>
    <w:rsid w:val="00147031"/>
    <w:rsid w:val="00160DD4"/>
    <w:rsid w:val="00185390"/>
    <w:rsid w:val="00194335"/>
    <w:rsid w:val="001975A1"/>
    <w:rsid w:val="001A077F"/>
    <w:rsid w:val="001D23B3"/>
    <w:rsid w:val="001D7725"/>
    <w:rsid w:val="001E50FD"/>
    <w:rsid w:val="001F5E52"/>
    <w:rsid w:val="00213E43"/>
    <w:rsid w:val="002352E9"/>
    <w:rsid w:val="00242C1C"/>
    <w:rsid w:val="00256C19"/>
    <w:rsid w:val="00271981"/>
    <w:rsid w:val="00284EF9"/>
    <w:rsid w:val="0029265E"/>
    <w:rsid w:val="002A6132"/>
    <w:rsid w:val="002D3324"/>
    <w:rsid w:val="002E04DA"/>
    <w:rsid w:val="002E4E3F"/>
    <w:rsid w:val="002E4F6E"/>
    <w:rsid w:val="002F25B6"/>
    <w:rsid w:val="00302672"/>
    <w:rsid w:val="00306263"/>
    <w:rsid w:val="003079FF"/>
    <w:rsid w:val="003105B5"/>
    <w:rsid w:val="00310755"/>
    <w:rsid w:val="0033260B"/>
    <w:rsid w:val="003436B9"/>
    <w:rsid w:val="0038159C"/>
    <w:rsid w:val="00382AA4"/>
    <w:rsid w:val="0039117E"/>
    <w:rsid w:val="00394A96"/>
    <w:rsid w:val="003B14C2"/>
    <w:rsid w:val="003B53F8"/>
    <w:rsid w:val="003B76F9"/>
    <w:rsid w:val="003C1394"/>
    <w:rsid w:val="003D1029"/>
    <w:rsid w:val="00405C03"/>
    <w:rsid w:val="00413969"/>
    <w:rsid w:val="00416A78"/>
    <w:rsid w:val="00422E4C"/>
    <w:rsid w:val="004244B0"/>
    <w:rsid w:val="00427866"/>
    <w:rsid w:val="004303DA"/>
    <w:rsid w:val="0043750F"/>
    <w:rsid w:val="00447412"/>
    <w:rsid w:val="00475010"/>
    <w:rsid w:val="00476F6C"/>
    <w:rsid w:val="004823AE"/>
    <w:rsid w:val="00494ACF"/>
    <w:rsid w:val="004C57C0"/>
    <w:rsid w:val="004E14CB"/>
    <w:rsid w:val="004E54C6"/>
    <w:rsid w:val="00504EB4"/>
    <w:rsid w:val="0051358D"/>
    <w:rsid w:val="00521BBB"/>
    <w:rsid w:val="00523BB3"/>
    <w:rsid w:val="0052780B"/>
    <w:rsid w:val="00530ED6"/>
    <w:rsid w:val="00541038"/>
    <w:rsid w:val="005573A2"/>
    <w:rsid w:val="0056615D"/>
    <w:rsid w:val="00572645"/>
    <w:rsid w:val="0057350A"/>
    <w:rsid w:val="0059650B"/>
    <w:rsid w:val="005A78AC"/>
    <w:rsid w:val="005A7B38"/>
    <w:rsid w:val="005B1712"/>
    <w:rsid w:val="005C1BEC"/>
    <w:rsid w:val="005D35F4"/>
    <w:rsid w:val="005D6100"/>
    <w:rsid w:val="005D765B"/>
    <w:rsid w:val="005F783B"/>
    <w:rsid w:val="00612C14"/>
    <w:rsid w:val="00614983"/>
    <w:rsid w:val="00653B44"/>
    <w:rsid w:val="00672A1F"/>
    <w:rsid w:val="0068491A"/>
    <w:rsid w:val="00695CE3"/>
    <w:rsid w:val="006A2CB4"/>
    <w:rsid w:val="006C65FE"/>
    <w:rsid w:val="006D0B01"/>
    <w:rsid w:val="006D183D"/>
    <w:rsid w:val="006E4936"/>
    <w:rsid w:val="006F4561"/>
    <w:rsid w:val="007079DF"/>
    <w:rsid w:val="00711347"/>
    <w:rsid w:val="007231FB"/>
    <w:rsid w:val="0072567C"/>
    <w:rsid w:val="00726757"/>
    <w:rsid w:val="00741811"/>
    <w:rsid w:val="00741E31"/>
    <w:rsid w:val="00782D0C"/>
    <w:rsid w:val="007B61AD"/>
    <w:rsid w:val="007B7F2B"/>
    <w:rsid w:val="007C0D85"/>
    <w:rsid w:val="007C1ABC"/>
    <w:rsid w:val="007C540B"/>
    <w:rsid w:val="007C617C"/>
    <w:rsid w:val="007D1048"/>
    <w:rsid w:val="007D1FB9"/>
    <w:rsid w:val="007F1892"/>
    <w:rsid w:val="00804D2A"/>
    <w:rsid w:val="008061D2"/>
    <w:rsid w:val="00836B67"/>
    <w:rsid w:val="008410BF"/>
    <w:rsid w:val="00841B42"/>
    <w:rsid w:val="00847766"/>
    <w:rsid w:val="00852B8C"/>
    <w:rsid w:val="00872539"/>
    <w:rsid w:val="008731A7"/>
    <w:rsid w:val="00886FE7"/>
    <w:rsid w:val="008931B3"/>
    <w:rsid w:val="00894977"/>
    <w:rsid w:val="008A04DA"/>
    <w:rsid w:val="008B2CA4"/>
    <w:rsid w:val="008B2DBA"/>
    <w:rsid w:val="008B5F70"/>
    <w:rsid w:val="008E7BCD"/>
    <w:rsid w:val="00934A4B"/>
    <w:rsid w:val="00936165"/>
    <w:rsid w:val="0094331C"/>
    <w:rsid w:val="0094695A"/>
    <w:rsid w:val="00963E20"/>
    <w:rsid w:val="009777F3"/>
    <w:rsid w:val="00982272"/>
    <w:rsid w:val="00986D5D"/>
    <w:rsid w:val="00995A21"/>
    <w:rsid w:val="009B5907"/>
    <w:rsid w:val="009E5B2C"/>
    <w:rsid w:val="00A05590"/>
    <w:rsid w:val="00A16576"/>
    <w:rsid w:val="00A20271"/>
    <w:rsid w:val="00A240C2"/>
    <w:rsid w:val="00A265AA"/>
    <w:rsid w:val="00A37C96"/>
    <w:rsid w:val="00A41C24"/>
    <w:rsid w:val="00A45A07"/>
    <w:rsid w:val="00A4799F"/>
    <w:rsid w:val="00A67D85"/>
    <w:rsid w:val="00A90FCB"/>
    <w:rsid w:val="00A93D66"/>
    <w:rsid w:val="00A9431C"/>
    <w:rsid w:val="00AB0098"/>
    <w:rsid w:val="00AC0374"/>
    <w:rsid w:val="00AE3126"/>
    <w:rsid w:val="00AF4B79"/>
    <w:rsid w:val="00B07913"/>
    <w:rsid w:val="00B11A6D"/>
    <w:rsid w:val="00B13F4E"/>
    <w:rsid w:val="00B23297"/>
    <w:rsid w:val="00B250BE"/>
    <w:rsid w:val="00B275F0"/>
    <w:rsid w:val="00B27B0B"/>
    <w:rsid w:val="00B3555D"/>
    <w:rsid w:val="00B369AE"/>
    <w:rsid w:val="00B42320"/>
    <w:rsid w:val="00B46418"/>
    <w:rsid w:val="00B4726C"/>
    <w:rsid w:val="00B53E94"/>
    <w:rsid w:val="00B62964"/>
    <w:rsid w:val="00B71DED"/>
    <w:rsid w:val="00B865F2"/>
    <w:rsid w:val="00BA115F"/>
    <w:rsid w:val="00BA1496"/>
    <w:rsid w:val="00BA5C0B"/>
    <w:rsid w:val="00BB7824"/>
    <w:rsid w:val="00BC4AD6"/>
    <w:rsid w:val="00BD267B"/>
    <w:rsid w:val="00BE30E5"/>
    <w:rsid w:val="00BE43EF"/>
    <w:rsid w:val="00BF0F00"/>
    <w:rsid w:val="00BF6F66"/>
    <w:rsid w:val="00C02C88"/>
    <w:rsid w:val="00C06FC3"/>
    <w:rsid w:val="00C10097"/>
    <w:rsid w:val="00C2686B"/>
    <w:rsid w:val="00C30586"/>
    <w:rsid w:val="00C314B5"/>
    <w:rsid w:val="00C50064"/>
    <w:rsid w:val="00C71EF8"/>
    <w:rsid w:val="00C725D8"/>
    <w:rsid w:val="00C732D4"/>
    <w:rsid w:val="00C83A3B"/>
    <w:rsid w:val="00C8422A"/>
    <w:rsid w:val="00CB06F1"/>
    <w:rsid w:val="00CB07A4"/>
    <w:rsid w:val="00CB57C4"/>
    <w:rsid w:val="00CC2A97"/>
    <w:rsid w:val="00CC455D"/>
    <w:rsid w:val="00CD1984"/>
    <w:rsid w:val="00CE3184"/>
    <w:rsid w:val="00D0211A"/>
    <w:rsid w:val="00D15C98"/>
    <w:rsid w:val="00D2731B"/>
    <w:rsid w:val="00D416B9"/>
    <w:rsid w:val="00D41B80"/>
    <w:rsid w:val="00D52FA9"/>
    <w:rsid w:val="00D5614A"/>
    <w:rsid w:val="00D60CB3"/>
    <w:rsid w:val="00D728F3"/>
    <w:rsid w:val="00D733B8"/>
    <w:rsid w:val="00D75DDF"/>
    <w:rsid w:val="00D7626D"/>
    <w:rsid w:val="00D762CA"/>
    <w:rsid w:val="00D919BD"/>
    <w:rsid w:val="00D944DF"/>
    <w:rsid w:val="00DA206E"/>
    <w:rsid w:val="00DA5893"/>
    <w:rsid w:val="00DA5DFE"/>
    <w:rsid w:val="00DB3EEE"/>
    <w:rsid w:val="00DC247D"/>
    <w:rsid w:val="00DC6726"/>
    <w:rsid w:val="00DD03AA"/>
    <w:rsid w:val="00DD331F"/>
    <w:rsid w:val="00E05EDE"/>
    <w:rsid w:val="00E15B53"/>
    <w:rsid w:val="00E251DE"/>
    <w:rsid w:val="00E32305"/>
    <w:rsid w:val="00E42075"/>
    <w:rsid w:val="00E44AB1"/>
    <w:rsid w:val="00E5272C"/>
    <w:rsid w:val="00E74F2E"/>
    <w:rsid w:val="00E759E7"/>
    <w:rsid w:val="00E83B28"/>
    <w:rsid w:val="00E94C11"/>
    <w:rsid w:val="00ED5986"/>
    <w:rsid w:val="00ED6AF0"/>
    <w:rsid w:val="00EE1560"/>
    <w:rsid w:val="00EE28EE"/>
    <w:rsid w:val="00EF374B"/>
    <w:rsid w:val="00F05CF7"/>
    <w:rsid w:val="00F0676D"/>
    <w:rsid w:val="00F33CD9"/>
    <w:rsid w:val="00F466C3"/>
    <w:rsid w:val="00F52A8D"/>
    <w:rsid w:val="00F52D42"/>
    <w:rsid w:val="00F60E55"/>
    <w:rsid w:val="00F641BA"/>
    <w:rsid w:val="00F74A17"/>
    <w:rsid w:val="00F87853"/>
    <w:rsid w:val="00F917CC"/>
    <w:rsid w:val="00F96B5B"/>
    <w:rsid w:val="00F96C3C"/>
    <w:rsid w:val="00FB72ED"/>
    <w:rsid w:val="00FE215E"/>
    <w:rsid w:val="00FE6F81"/>
    <w:rsid w:val="00FF235E"/>
    <w:rsid w:val="00FF71AB"/>
    <w:rsid w:val="00FF7C78"/>
    <w:rsid w:val="01374E54"/>
    <w:rsid w:val="014467DE"/>
    <w:rsid w:val="01B85F94"/>
    <w:rsid w:val="01DD7AA9"/>
    <w:rsid w:val="01F3521E"/>
    <w:rsid w:val="02004715"/>
    <w:rsid w:val="020157DF"/>
    <w:rsid w:val="030C247A"/>
    <w:rsid w:val="030F7234"/>
    <w:rsid w:val="03341D7F"/>
    <w:rsid w:val="033836AB"/>
    <w:rsid w:val="0343163D"/>
    <w:rsid w:val="03510AA7"/>
    <w:rsid w:val="03525854"/>
    <w:rsid w:val="035C5045"/>
    <w:rsid w:val="036436F5"/>
    <w:rsid w:val="03C20CFD"/>
    <w:rsid w:val="03E16A25"/>
    <w:rsid w:val="041E3242"/>
    <w:rsid w:val="045B6878"/>
    <w:rsid w:val="049C23C0"/>
    <w:rsid w:val="051F5585"/>
    <w:rsid w:val="052120A3"/>
    <w:rsid w:val="052554E5"/>
    <w:rsid w:val="053973EC"/>
    <w:rsid w:val="056326BB"/>
    <w:rsid w:val="0599432F"/>
    <w:rsid w:val="05D96B97"/>
    <w:rsid w:val="05EF0B06"/>
    <w:rsid w:val="071E7A6D"/>
    <w:rsid w:val="079C3C62"/>
    <w:rsid w:val="07F96744"/>
    <w:rsid w:val="082F0F7A"/>
    <w:rsid w:val="083E59D9"/>
    <w:rsid w:val="084E6C60"/>
    <w:rsid w:val="08AD380F"/>
    <w:rsid w:val="08EB1C1E"/>
    <w:rsid w:val="08EB5B62"/>
    <w:rsid w:val="08F6103E"/>
    <w:rsid w:val="09092DE7"/>
    <w:rsid w:val="09282B92"/>
    <w:rsid w:val="0969226A"/>
    <w:rsid w:val="099355F8"/>
    <w:rsid w:val="09D434BE"/>
    <w:rsid w:val="0A5002F7"/>
    <w:rsid w:val="0AC94DA2"/>
    <w:rsid w:val="0AF114BB"/>
    <w:rsid w:val="0AFC15E8"/>
    <w:rsid w:val="0B327812"/>
    <w:rsid w:val="0B444D3D"/>
    <w:rsid w:val="0B491765"/>
    <w:rsid w:val="0B62234B"/>
    <w:rsid w:val="0B732148"/>
    <w:rsid w:val="0B921521"/>
    <w:rsid w:val="0BA94BA0"/>
    <w:rsid w:val="0BCF4361"/>
    <w:rsid w:val="0BE76F5C"/>
    <w:rsid w:val="0C252478"/>
    <w:rsid w:val="0C41302A"/>
    <w:rsid w:val="0CB521B0"/>
    <w:rsid w:val="0D2564A8"/>
    <w:rsid w:val="0D305579"/>
    <w:rsid w:val="0D324DE0"/>
    <w:rsid w:val="0D556EE0"/>
    <w:rsid w:val="0D6671EC"/>
    <w:rsid w:val="0DF4332B"/>
    <w:rsid w:val="0DFD7860"/>
    <w:rsid w:val="0E236E8B"/>
    <w:rsid w:val="0E25296B"/>
    <w:rsid w:val="0E807E3A"/>
    <w:rsid w:val="0E912047"/>
    <w:rsid w:val="0EC35F79"/>
    <w:rsid w:val="0EEA6A90"/>
    <w:rsid w:val="0F026AA1"/>
    <w:rsid w:val="0F0C553F"/>
    <w:rsid w:val="0F3C1D55"/>
    <w:rsid w:val="0F5C08A7"/>
    <w:rsid w:val="0FC00D9D"/>
    <w:rsid w:val="0FF00FEF"/>
    <w:rsid w:val="10297193"/>
    <w:rsid w:val="10324BAD"/>
    <w:rsid w:val="10573ABB"/>
    <w:rsid w:val="10961B97"/>
    <w:rsid w:val="10967DE9"/>
    <w:rsid w:val="109C2F25"/>
    <w:rsid w:val="10A41E19"/>
    <w:rsid w:val="11557B43"/>
    <w:rsid w:val="11652EAB"/>
    <w:rsid w:val="116C28F7"/>
    <w:rsid w:val="118A06F5"/>
    <w:rsid w:val="11F72B09"/>
    <w:rsid w:val="11FC4D3A"/>
    <w:rsid w:val="1235718D"/>
    <w:rsid w:val="12CB18A0"/>
    <w:rsid w:val="12E52961"/>
    <w:rsid w:val="136D5BDE"/>
    <w:rsid w:val="1384217A"/>
    <w:rsid w:val="138A52B7"/>
    <w:rsid w:val="13B81E24"/>
    <w:rsid w:val="13C127E6"/>
    <w:rsid w:val="142A32BB"/>
    <w:rsid w:val="144D563B"/>
    <w:rsid w:val="146E1BEA"/>
    <w:rsid w:val="14700758"/>
    <w:rsid w:val="14A30D26"/>
    <w:rsid w:val="14EC1D7D"/>
    <w:rsid w:val="14FC66CF"/>
    <w:rsid w:val="14FE1928"/>
    <w:rsid w:val="152B05E3"/>
    <w:rsid w:val="1548367B"/>
    <w:rsid w:val="158521DA"/>
    <w:rsid w:val="15A9236C"/>
    <w:rsid w:val="161376D2"/>
    <w:rsid w:val="16824B5F"/>
    <w:rsid w:val="16D026BB"/>
    <w:rsid w:val="16E21AAF"/>
    <w:rsid w:val="175E2CE2"/>
    <w:rsid w:val="178D4607"/>
    <w:rsid w:val="179B7BD4"/>
    <w:rsid w:val="17B968B1"/>
    <w:rsid w:val="17D11706"/>
    <w:rsid w:val="17DA7D8C"/>
    <w:rsid w:val="17DF02C7"/>
    <w:rsid w:val="18035D40"/>
    <w:rsid w:val="186A35BB"/>
    <w:rsid w:val="18A130EA"/>
    <w:rsid w:val="18A84E1A"/>
    <w:rsid w:val="19102702"/>
    <w:rsid w:val="19A07E7C"/>
    <w:rsid w:val="19B80DD0"/>
    <w:rsid w:val="19C4052A"/>
    <w:rsid w:val="19D1081D"/>
    <w:rsid w:val="19DD5F99"/>
    <w:rsid w:val="1A241BAB"/>
    <w:rsid w:val="1A50725A"/>
    <w:rsid w:val="1ACF521A"/>
    <w:rsid w:val="1B0F6DF0"/>
    <w:rsid w:val="1B131667"/>
    <w:rsid w:val="1B1F438E"/>
    <w:rsid w:val="1B3C158C"/>
    <w:rsid w:val="1B4030F3"/>
    <w:rsid w:val="1BA47E6A"/>
    <w:rsid w:val="1BB750B7"/>
    <w:rsid w:val="1C153A84"/>
    <w:rsid w:val="1C2B7608"/>
    <w:rsid w:val="1C76287C"/>
    <w:rsid w:val="1C9A0C60"/>
    <w:rsid w:val="1CA2751E"/>
    <w:rsid w:val="1CBC0BD7"/>
    <w:rsid w:val="1CFE54C6"/>
    <w:rsid w:val="1D3C597D"/>
    <w:rsid w:val="1D4C65FE"/>
    <w:rsid w:val="1D570912"/>
    <w:rsid w:val="1D7414B2"/>
    <w:rsid w:val="1DB51D77"/>
    <w:rsid w:val="1E194312"/>
    <w:rsid w:val="1E4264C3"/>
    <w:rsid w:val="1E97362F"/>
    <w:rsid w:val="1EBA2EF4"/>
    <w:rsid w:val="1EEE6140"/>
    <w:rsid w:val="1F887800"/>
    <w:rsid w:val="1FBA6F24"/>
    <w:rsid w:val="1FD10619"/>
    <w:rsid w:val="1FE30229"/>
    <w:rsid w:val="2002256D"/>
    <w:rsid w:val="200F7345"/>
    <w:rsid w:val="20112FE8"/>
    <w:rsid w:val="201D5FF2"/>
    <w:rsid w:val="20330CED"/>
    <w:rsid w:val="20501535"/>
    <w:rsid w:val="21215E8E"/>
    <w:rsid w:val="212B00D9"/>
    <w:rsid w:val="21D71BEE"/>
    <w:rsid w:val="2237485C"/>
    <w:rsid w:val="2245341D"/>
    <w:rsid w:val="22637002"/>
    <w:rsid w:val="226D1A73"/>
    <w:rsid w:val="22D60519"/>
    <w:rsid w:val="23844EAF"/>
    <w:rsid w:val="24284C11"/>
    <w:rsid w:val="24397395"/>
    <w:rsid w:val="243C084F"/>
    <w:rsid w:val="247258FF"/>
    <w:rsid w:val="24C120CA"/>
    <w:rsid w:val="24D57081"/>
    <w:rsid w:val="2508625F"/>
    <w:rsid w:val="252D6896"/>
    <w:rsid w:val="25977F5F"/>
    <w:rsid w:val="25AC730F"/>
    <w:rsid w:val="25B032A3"/>
    <w:rsid w:val="262A1114"/>
    <w:rsid w:val="262A4140"/>
    <w:rsid w:val="264718BC"/>
    <w:rsid w:val="26565FDF"/>
    <w:rsid w:val="26B6639A"/>
    <w:rsid w:val="26C05AFB"/>
    <w:rsid w:val="26EF7EEE"/>
    <w:rsid w:val="27091ADD"/>
    <w:rsid w:val="27220ADA"/>
    <w:rsid w:val="27435A51"/>
    <w:rsid w:val="274F161E"/>
    <w:rsid w:val="27943A47"/>
    <w:rsid w:val="28370592"/>
    <w:rsid w:val="285D2747"/>
    <w:rsid w:val="286D547B"/>
    <w:rsid w:val="28A0476D"/>
    <w:rsid w:val="28DC5EA4"/>
    <w:rsid w:val="28F811E9"/>
    <w:rsid w:val="28FC4939"/>
    <w:rsid w:val="29E466CE"/>
    <w:rsid w:val="2A5779ED"/>
    <w:rsid w:val="2A7E1E12"/>
    <w:rsid w:val="2AB147B5"/>
    <w:rsid w:val="2AED771C"/>
    <w:rsid w:val="2B24701F"/>
    <w:rsid w:val="2B4E610F"/>
    <w:rsid w:val="2B7E41BA"/>
    <w:rsid w:val="2B86432A"/>
    <w:rsid w:val="2BB62C95"/>
    <w:rsid w:val="2BCB4750"/>
    <w:rsid w:val="2BD01C8D"/>
    <w:rsid w:val="2BD733B6"/>
    <w:rsid w:val="2BE74CB8"/>
    <w:rsid w:val="2BE75544"/>
    <w:rsid w:val="2C5B7DFA"/>
    <w:rsid w:val="2C654CAC"/>
    <w:rsid w:val="2C7212B2"/>
    <w:rsid w:val="2CD30D30"/>
    <w:rsid w:val="2D030961"/>
    <w:rsid w:val="2D4F4069"/>
    <w:rsid w:val="2D6211CC"/>
    <w:rsid w:val="2D79041E"/>
    <w:rsid w:val="2D856DC3"/>
    <w:rsid w:val="2DA27975"/>
    <w:rsid w:val="2DA76D39"/>
    <w:rsid w:val="2DE24215"/>
    <w:rsid w:val="2DF6381D"/>
    <w:rsid w:val="2E04057D"/>
    <w:rsid w:val="2E9A0DA1"/>
    <w:rsid w:val="2F041F69"/>
    <w:rsid w:val="2F080BF6"/>
    <w:rsid w:val="2F1C5505"/>
    <w:rsid w:val="30470360"/>
    <w:rsid w:val="307B1892"/>
    <w:rsid w:val="30AE03DF"/>
    <w:rsid w:val="30B7783B"/>
    <w:rsid w:val="30CD2133"/>
    <w:rsid w:val="30D2231F"/>
    <w:rsid w:val="310A4E78"/>
    <w:rsid w:val="310C46BA"/>
    <w:rsid w:val="318F4BB5"/>
    <w:rsid w:val="319960E3"/>
    <w:rsid w:val="31AF7BD2"/>
    <w:rsid w:val="31EA7C43"/>
    <w:rsid w:val="31F93956"/>
    <w:rsid w:val="32700042"/>
    <w:rsid w:val="327A2C6E"/>
    <w:rsid w:val="329219D2"/>
    <w:rsid w:val="329830F5"/>
    <w:rsid w:val="32AB5D6C"/>
    <w:rsid w:val="32B315CF"/>
    <w:rsid w:val="32D707E6"/>
    <w:rsid w:val="32EC5979"/>
    <w:rsid w:val="32ED7F9D"/>
    <w:rsid w:val="331165AB"/>
    <w:rsid w:val="33512760"/>
    <w:rsid w:val="33DD557C"/>
    <w:rsid w:val="34441786"/>
    <w:rsid w:val="345614B9"/>
    <w:rsid w:val="34684D49"/>
    <w:rsid w:val="346B00EF"/>
    <w:rsid w:val="348222AE"/>
    <w:rsid w:val="349F69BC"/>
    <w:rsid w:val="34E26DA3"/>
    <w:rsid w:val="35170C48"/>
    <w:rsid w:val="35337105"/>
    <w:rsid w:val="353D29CA"/>
    <w:rsid w:val="3575771D"/>
    <w:rsid w:val="35E52AF5"/>
    <w:rsid w:val="366E760D"/>
    <w:rsid w:val="36835E6A"/>
    <w:rsid w:val="36AE0FA2"/>
    <w:rsid w:val="36AF1D05"/>
    <w:rsid w:val="372C02AF"/>
    <w:rsid w:val="375A1DC0"/>
    <w:rsid w:val="37C36E66"/>
    <w:rsid w:val="382471D8"/>
    <w:rsid w:val="385076D4"/>
    <w:rsid w:val="38514471"/>
    <w:rsid w:val="38B632C3"/>
    <w:rsid w:val="38C56AB8"/>
    <w:rsid w:val="38EF5DFB"/>
    <w:rsid w:val="39290F4A"/>
    <w:rsid w:val="3939522E"/>
    <w:rsid w:val="397A3554"/>
    <w:rsid w:val="39AF2DF3"/>
    <w:rsid w:val="3A313DDF"/>
    <w:rsid w:val="3A9022AD"/>
    <w:rsid w:val="3AE8273F"/>
    <w:rsid w:val="3AED36CF"/>
    <w:rsid w:val="3B1D171C"/>
    <w:rsid w:val="3B6C3D52"/>
    <w:rsid w:val="3B9C6EB2"/>
    <w:rsid w:val="3BA50630"/>
    <w:rsid w:val="3BAA5C47"/>
    <w:rsid w:val="3BD93BFC"/>
    <w:rsid w:val="3BF13876"/>
    <w:rsid w:val="3BFB45B8"/>
    <w:rsid w:val="3C0360E3"/>
    <w:rsid w:val="3C24596A"/>
    <w:rsid w:val="3C5938F5"/>
    <w:rsid w:val="3C69774D"/>
    <w:rsid w:val="3C8A61A4"/>
    <w:rsid w:val="3C991F43"/>
    <w:rsid w:val="3CD53E49"/>
    <w:rsid w:val="3D2A6F55"/>
    <w:rsid w:val="3D430101"/>
    <w:rsid w:val="3D5D5666"/>
    <w:rsid w:val="3D8449A1"/>
    <w:rsid w:val="3E216694"/>
    <w:rsid w:val="3E2C5128"/>
    <w:rsid w:val="3EA07AC6"/>
    <w:rsid w:val="3EE14075"/>
    <w:rsid w:val="3F2F6B8F"/>
    <w:rsid w:val="3F3D52C5"/>
    <w:rsid w:val="3F6B5F18"/>
    <w:rsid w:val="3F9F5CB2"/>
    <w:rsid w:val="3FD140EA"/>
    <w:rsid w:val="3FF46F41"/>
    <w:rsid w:val="401202E4"/>
    <w:rsid w:val="402266F3"/>
    <w:rsid w:val="405368AD"/>
    <w:rsid w:val="40550877"/>
    <w:rsid w:val="4086667F"/>
    <w:rsid w:val="40A75A1F"/>
    <w:rsid w:val="40A8087E"/>
    <w:rsid w:val="40D763AA"/>
    <w:rsid w:val="413B60C1"/>
    <w:rsid w:val="41523008"/>
    <w:rsid w:val="41967399"/>
    <w:rsid w:val="42305FC1"/>
    <w:rsid w:val="423654AA"/>
    <w:rsid w:val="425546DD"/>
    <w:rsid w:val="42605F57"/>
    <w:rsid w:val="42ED123B"/>
    <w:rsid w:val="43790D20"/>
    <w:rsid w:val="439D2357"/>
    <w:rsid w:val="44203BFE"/>
    <w:rsid w:val="4427569D"/>
    <w:rsid w:val="44305F71"/>
    <w:rsid w:val="446C318F"/>
    <w:rsid w:val="44A8366B"/>
    <w:rsid w:val="44AE6C6F"/>
    <w:rsid w:val="44F543D6"/>
    <w:rsid w:val="45006282"/>
    <w:rsid w:val="452E3AA1"/>
    <w:rsid w:val="45392515"/>
    <w:rsid w:val="453D2A10"/>
    <w:rsid w:val="454E38DB"/>
    <w:rsid w:val="456D0411"/>
    <w:rsid w:val="45D431AC"/>
    <w:rsid w:val="4614170F"/>
    <w:rsid w:val="4638045A"/>
    <w:rsid w:val="467557CF"/>
    <w:rsid w:val="468C00DD"/>
    <w:rsid w:val="46927C50"/>
    <w:rsid w:val="46DC0189"/>
    <w:rsid w:val="4734721D"/>
    <w:rsid w:val="47413512"/>
    <w:rsid w:val="47CA62E9"/>
    <w:rsid w:val="47E13C11"/>
    <w:rsid w:val="47FD39BB"/>
    <w:rsid w:val="47FE75A1"/>
    <w:rsid w:val="48286871"/>
    <w:rsid w:val="4832149E"/>
    <w:rsid w:val="48657AC5"/>
    <w:rsid w:val="48771282"/>
    <w:rsid w:val="48820D36"/>
    <w:rsid w:val="48C33D24"/>
    <w:rsid w:val="48DB12B5"/>
    <w:rsid w:val="49311755"/>
    <w:rsid w:val="49843F7B"/>
    <w:rsid w:val="498F32C4"/>
    <w:rsid w:val="49F17862"/>
    <w:rsid w:val="4A0950D1"/>
    <w:rsid w:val="4A224E68"/>
    <w:rsid w:val="4A7638C4"/>
    <w:rsid w:val="4A8677E5"/>
    <w:rsid w:val="4A8F150D"/>
    <w:rsid w:val="4AC676BD"/>
    <w:rsid w:val="4AFF0728"/>
    <w:rsid w:val="4B3B2851"/>
    <w:rsid w:val="4B9D4F66"/>
    <w:rsid w:val="4BB079CC"/>
    <w:rsid w:val="4BC13264"/>
    <w:rsid w:val="4BDC3C83"/>
    <w:rsid w:val="4C0F30D2"/>
    <w:rsid w:val="4C347834"/>
    <w:rsid w:val="4C3E2B07"/>
    <w:rsid w:val="4C722558"/>
    <w:rsid w:val="4CF07121"/>
    <w:rsid w:val="4CF8716C"/>
    <w:rsid w:val="4CFD720C"/>
    <w:rsid w:val="4D185106"/>
    <w:rsid w:val="4D4B5131"/>
    <w:rsid w:val="4D4E6C0C"/>
    <w:rsid w:val="4D8F0D67"/>
    <w:rsid w:val="4DAE7818"/>
    <w:rsid w:val="4DB65805"/>
    <w:rsid w:val="4DD61C67"/>
    <w:rsid w:val="4DDF6E90"/>
    <w:rsid w:val="4E0D1466"/>
    <w:rsid w:val="4E796078"/>
    <w:rsid w:val="4EF676C9"/>
    <w:rsid w:val="4F2C7426"/>
    <w:rsid w:val="4F6C68F9"/>
    <w:rsid w:val="4F9071D6"/>
    <w:rsid w:val="4FCB6A8D"/>
    <w:rsid w:val="4FF0349D"/>
    <w:rsid w:val="50132789"/>
    <w:rsid w:val="504E26A3"/>
    <w:rsid w:val="507A1C34"/>
    <w:rsid w:val="50840C11"/>
    <w:rsid w:val="50CB3616"/>
    <w:rsid w:val="51500EB6"/>
    <w:rsid w:val="518D2A5E"/>
    <w:rsid w:val="51B073AF"/>
    <w:rsid w:val="5294522F"/>
    <w:rsid w:val="52C84F41"/>
    <w:rsid w:val="52F55A0E"/>
    <w:rsid w:val="534A0370"/>
    <w:rsid w:val="534D6C3F"/>
    <w:rsid w:val="54065446"/>
    <w:rsid w:val="54BF4D86"/>
    <w:rsid w:val="54E12D5B"/>
    <w:rsid w:val="559B0B7F"/>
    <w:rsid w:val="55F67FAE"/>
    <w:rsid w:val="561D57EF"/>
    <w:rsid w:val="56355422"/>
    <w:rsid w:val="56544380"/>
    <w:rsid w:val="567F0DC1"/>
    <w:rsid w:val="56A04385"/>
    <w:rsid w:val="56B37C4E"/>
    <w:rsid w:val="56F97D56"/>
    <w:rsid w:val="57016C0B"/>
    <w:rsid w:val="57162A14"/>
    <w:rsid w:val="57704917"/>
    <w:rsid w:val="577A5B49"/>
    <w:rsid w:val="57987713"/>
    <w:rsid w:val="57E74053"/>
    <w:rsid w:val="581F559B"/>
    <w:rsid w:val="587352FF"/>
    <w:rsid w:val="58752BA8"/>
    <w:rsid w:val="58832FBF"/>
    <w:rsid w:val="589A55C2"/>
    <w:rsid w:val="58BC103B"/>
    <w:rsid w:val="58F8015D"/>
    <w:rsid w:val="58FF6231"/>
    <w:rsid w:val="590A2A62"/>
    <w:rsid w:val="590F1AB3"/>
    <w:rsid w:val="5928638B"/>
    <w:rsid w:val="598A0864"/>
    <w:rsid w:val="598F35A0"/>
    <w:rsid w:val="5A517B3B"/>
    <w:rsid w:val="5B160B43"/>
    <w:rsid w:val="5B330F7D"/>
    <w:rsid w:val="5B44580E"/>
    <w:rsid w:val="5B7B76DB"/>
    <w:rsid w:val="5B9529C6"/>
    <w:rsid w:val="5B9B0DD6"/>
    <w:rsid w:val="5CE2128D"/>
    <w:rsid w:val="5D645228"/>
    <w:rsid w:val="5D704AEA"/>
    <w:rsid w:val="5D7C2C53"/>
    <w:rsid w:val="5D953CF6"/>
    <w:rsid w:val="5DB451BC"/>
    <w:rsid w:val="5DB5658E"/>
    <w:rsid w:val="5E10464A"/>
    <w:rsid w:val="5E3A43C8"/>
    <w:rsid w:val="5E774A07"/>
    <w:rsid w:val="5E781EA8"/>
    <w:rsid w:val="5E962AF6"/>
    <w:rsid w:val="5EA87092"/>
    <w:rsid w:val="5EAE16FC"/>
    <w:rsid w:val="5EE97ACE"/>
    <w:rsid w:val="5EF05EE3"/>
    <w:rsid w:val="5F026854"/>
    <w:rsid w:val="5F2227CD"/>
    <w:rsid w:val="5F5A15AE"/>
    <w:rsid w:val="5F751F44"/>
    <w:rsid w:val="5F7A5030"/>
    <w:rsid w:val="5FAE4FCE"/>
    <w:rsid w:val="5FD521C7"/>
    <w:rsid w:val="60465473"/>
    <w:rsid w:val="60540228"/>
    <w:rsid w:val="607518FD"/>
    <w:rsid w:val="609D1752"/>
    <w:rsid w:val="60CB63CB"/>
    <w:rsid w:val="60D13D6D"/>
    <w:rsid w:val="60F65306"/>
    <w:rsid w:val="6109503A"/>
    <w:rsid w:val="61587D6F"/>
    <w:rsid w:val="61637D56"/>
    <w:rsid w:val="616B1851"/>
    <w:rsid w:val="617355D6"/>
    <w:rsid w:val="617D3332"/>
    <w:rsid w:val="61FD6FAC"/>
    <w:rsid w:val="62783014"/>
    <w:rsid w:val="62894EFE"/>
    <w:rsid w:val="62D56C39"/>
    <w:rsid w:val="62D82F16"/>
    <w:rsid w:val="62EC69C1"/>
    <w:rsid w:val="631D68C6"/>
    <w:rsid w:val="63545931"/>
    <w:rsid w:val="6396536F"/>
    <w:rsid w:val="639A5952"/>
    <w:rsid w:val="639C02C3"/>
    <w:rsid w:val="63AD5A6D"/>
    <w:rsid w:val="63C15A99"/>
    <w:rsid w:val="63C46DE2"/>
    <w:rsid w:val="63EF2F34"/>
    <w:rsid w:val="63F03D89"/>
    <w:rsid w:val="643428F5"/>
    <w:rsid w:val="647461B3"/>
    <w:rsid w:val="64C33752"/>
    <w:rsid w:val="64E03C20"/>
    <w:rsid w:val="657A02B4"/>
    <w:rsid w:val="65D043B5"/>
    <w:rsid w:val="660D514E"/>
    <w:rsid w:val="66617326"/>
    <w:rsid w:val="66F67E0E"/>
    <w:rsid w:val="67156D28"/>
    <w:rsid w:val="6759214B"/>
    <w:rsid w:val="67614A08"/>
    <w:rsid w:val="67AE693B"/>
    <w:rsid w:val="67D34696"/>
    <w:rsid w:val="67E4410B"/>
    <w:rsid w:val="68214E2B"/>
    <w:rsid w:val="682B7F8C"/>
    <w:rsid w:val="68324D3D"/>
    <w:rsid w:val="688A17C5"/>
    <w:rsid w:val="68986859"/>
    <w:rsid w:val="68AE2529"/>
    <w:rsid w:val="69055B11"/>
    <w:rsid w:val="69122415"/>
    <w:rsid w:val="69284CD5"/>
    <w:rsid w:val="69291153"/>
    <w:rsid w:val="693037C0"/>
    <w:rsid w:val="693C622B"/>
    <w:rsid w:val="695452C0"/>
    <w:rsid w:val="69690D6B"/>
    <w:rsid w:val="697D4817"/>
    <w:rsid w:val="69BB5DB4"/>
    <w:rsid w:val="69C33E4E"/>
    <w:rsid w:val="69C858E4"/>
    <w:rsid w:val="69EA1A6A"/>
    <w:rsid w:val="69EA4C26"/>
    <w:rsid w:val="69EB21BA"/>
    <w:rsid w:val="69F525FF"/>
    <w:rsid w:val="6A274783"/>
    <w:rsid w:val="6A4737E3"/>
    <w:rsid w:val="6A4F6090"/>
    <w:rsid w:val="6AB415EC"/>
    <w:rsid w:val="6AC520BC"/>
    <w:rsid w:val="6AC65D4A"/>
    <w:rsid w:val="6AD466B8"/>
    <w:rsid w:val="6AF428B7"/>
    <w:rsid w:val="6B2807B2"/>
    <w:rsid w:val="6B2F3686"/>
    <w:rsid w:val="6B4355EC"/>
    <w:rsid w:val="6B4D1E7A"/>
    <w:rsid w:val="6BB362CE"/>
    <w:rsid w:val="6BC524A5"/>
    <w:rsid w:val="6BDE7164"/>
    <w:rsid w:val="6C09228B"/>
    <w:rsid w:val="6C256AA0"/>
    <w:rsid w:val="6C3B2FFD"/>
    <w:rsid w:val="6C8F6A29"/>
    <w:rsid w:val="6CA0460C"/>
    <w:rsid w:val="6CBA1C42"/>
    <w:rsid w:val="6D033285"/>
    <w:rsid w:val="6D6334AF"/>
    <w:rsid w:val="6DF2760E"/>
    <w:rsid w:val="6E040A57"/>
    <w:rsid w:val="6E2F54CF"/>
    <w:rsid w:val="6E380D0C"/>
    <w:rsid w:val="6E617962"/>
    <w:rsid w:val="6E7136A2"/>
    <w:rsid w:val="6EB12AAE"/>
    <w:rsid w:val="6F02382D"/>
    <w:rsid w:val="6F0248F7"/>
    <w:rsid w:val="6FB33B7C"/>
    <w:rsid w:val="6FEB5D40"/>
    <w:rsid w:val="6FEE2C97"/>
    <w:rsid w:val="701D4780"/>
    <w:rsid w:val="704464CC"/>
    <w:rsid w:val="70560B6F"/>
    <w:rsid w:val="70B312C0"/>
    <w:rsid w:val="70E60A99"/>
    <w:rsid w:val="711F580A"/>
    <w:rsid w:val="71A53F34"/>
    <w:rsid w:val="71BA40BB"/>
    <w:rsid w:val="71DC2236"/>
    <w:rsid w:val="723469D8"/>
    <w:rsid w:val="726E11A1"/>
    <w:rsid w:val="72BA1E81"/>
    <w:rsid w:val="730328DA"/>
    <w:rsid w:val="731B00BA"/>
    <w:rsid w:val="734463A5"/>
    <w:rsid w:val="737A5937"/>
    <w:rsid w:val="73823836"/>
    <w:rsid w:val="73A304EE"/>
    <w:rsid w:val="73BB1B13"/>
    <w:rsid w:val="73ED07EB"/>
    <w:rsid w:val="74291FC8"/>
    <w:rsid w:val="743434EC"/>
    <w:rsid w:val="7465713A"/>
    <w:rsid w:val="74A23383"/>
    <w:rsid w:val="74AD7044"/>
    <w:rsid w:val="74B66E2F"/>
    <w:rsid w:val="75032589"/>
    <w:rsid w:val="75163850"/>
    <w:rsid w:val="754F4BB4"/>
    <w:rsid w:val="755123E0"/>
    <w:rsid w:val="75790588"/>
    <w:rsid w:val="758962F1"/>
    <w:rsid w:val="758B02BC"/>
    <w:rsid w:val="75A44ED9"/>
    <w:rsid w:val="75E75DDD"/>
    <w:rsid w:val="75F23E97"/>
    <w:rsid w:val="75F8211B"/>
    <w:rsid w:val="76022303"/>
    <w:rsid w:val="76653C30"/>
    <w:rsid w:val="76681767"/>
    <w:rsid w:val="76DD5312"/>
    <w:rsid w:val="76EA4E7D"/>
    <w:rsid w:val="76FA0F8A"/>
    <w:rsid w:val="77445EF3"/>
    <w:rsid w:val="77502B36"/>
    <w:rsid w:val="775B37B3"/>
    <w:rsid w:val="776112D4"/>
    <w:rsid w:val="776D472E"/>
    <w:rsid w:val="77BB7764"/>
    <w:rsid w:val="77D575CC"/>
    <w:rsid w:val="77FE6B23"/>
    <w:rsid w:val="781B2672"/>
    <w:rsid w:val="78B55D26"/>
    <w:rsid w:val="78C31B1A"/>
    <w:rsid w:val="78C935D5"/>
    <w:rsid w:val="798B2638"/>
    <w:rsid w:val="79A00862"/>
    <w:rsid w:val="79C761EA"/>
    <w:rsid w:val="79CC49FF"/>
    <w:rsid w:val="79EE2C15"/>
    <w:rsid w:val="79FF2E57"/>
    <w:rsid w:val="7A3F1D7D"/>
    <w:rsid w:val="7A4E3666"/>
    <w:rsid w:val="7A85177D"/>
    <w:rsid w:val="7A8F43AA"/>
    <w:rsid w:val="7B2166B9"/>
    <w:rsid w:val="7B4818B6"/>
    <w:rsid w:val="7B8B4B71"/>
    <w:rsid w:val="7BAB4ABF"/>
    <w:rsid w:val="7BAD42E7"/>
    <w:rsid w:val="7BB03E65"/>
    <w:rsid w:val="7C0B11A8"/>
    <w:rsid w:val="7C2A30B3"/>
    <w:rsid w:val="7C67749B"/>
    <w:rsid w:val="7CA2573B"/>
    <w:rsid w:val="7D366C7B"/>
    <w:rsid w:val="7D87352C"/>
    <w:rsid w:val="7E1C7116"/>
    <w:rsid w:val="7E3C2153"/>
    <w:rsid w:val="7E6076A9"/>
    <w:rsid w:val="7E7044F2"/>
    <w:rsid w:val="7E926217"/>
    <w:rsid w:val="7EA87AEB"/>
    <w:rsid w:val="7EED5B43"/>
    <w:rsid w:val="7F5B0C1E"/>
    <w:rsid w:val="7F701B3E"/>
    <w:rsid w:val="7F7B1553"/>
    <w:rsid w:val="7FAE08F2"/>
    <w:rsid w:val="7FF52F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0" w:semiHidden="0" w:name="footnote reference"/>
    <w:lsdException w:qFormat="1"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Times New Roman"/>
      <w:lang w:val="en-US" w:eastAsia="zh-CN" w:bidi="ar-SA"/>
    </w:rPr>
  </w:style>
  <w:style w:type="paragraph" w:styleId="2">
    <w:name w:val="heading 3"/>
    <w:basedOn w:val="1"/>
    <w:next w:val="1"/>
    <w:autoRedefine/>
    <w:unhideWhenUsed/>
    <w:qFormat/>
    <w:uiPriority w:val="0"/>
    <w:pPr>
      <w:keepNext/>
      <w:keepLines/>
      <w:spacing w:before="260" w:after="260" w:line="416" w:lineRule="auto"/>
      <w:outlineLvl w:val="2"/>
    </w:pPr>
    <w:rPr>
      <w:b/>
      <w:bCs/>
      <w:sz w:val="32"/>
      <w:szCs w:val="32"/>
    </w:rPr>
  </w:style>
  <w:style w:type="character" w:default="1" w:styleId="23">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3">
    <w:name w:val="toc 7"/>
    <w:basedOn w:val="1"/>
    <w:next w:val="1"/>
    <w:autoRedefine/>
    <w:unhideWhenUsed/>
    <w:qFormat/>
    <w:uiPriority w:val="39"/>
    <w:pPr>
      <w:ind w:left="2520" w:leftChars="1200"/>
    </w:pPr>
  </w:style>
  <w:style w:type="paragraph" w:styleId="4">
    <w:name w:val="Normal Indent"/>
    <w:basedOn w:val="1"/>
    <w:autoRedefine/>
    <w:qFormat/>
    <w:uiPriority w:val="0"/>
    <w:pPr>
      <w:ind w:firstLine="420" w:firstLineChars="200"/>
    </w:pPr>
  </w:style>
  <w:style w:type="paragraph" w:styleId="5">
    <w:name w:val="annotation text"/>
    <w:basedOn w:val="1"/>
    <w:link w:val="46"/>
    <w:autoRedefine/>
    <w:qFormat/>
    <w:uiPriority w:val="0"/>
    <w:pPr>
      <w:jc w:val="left"/>
    </w:pPr>
  </w:style>
  <w:style w:type="paragraph" w:styleId="6">
    <w:name w:val="Body Text"/>
    <w:basedOn w:val="1"/>
    <w:autoRedefine/>
    <w:qFormat/>
    <w:uiPriority w:val="0"/>
    <w:pPr>
      <w:spacing w:after="120"/>
    </w:pPr>
    <w:rPr>
      <w:rFonts w:cs="宋体" w:asciiTheme="minorEastAsia" w:hAnsiTheme="minorEastAsia" w:eastAsiaTheme="minorEastAsia"/>
      <w:b/>
      <w:bCs/>
      <w:sz w:val="24"/>
      <w:szCs w:val="24"/>
      <w:lang w:val="zh-CN"/>
    </w:rPr>
  </w:style>
  <w:style w:type="paragraph" w:styleId="7">
    <w:name w:val="Body Text Indent"/>
    <w:basedOn w:val="1"/>
    <w:next w:val="8"/>
    <w:link w:val="49"/>
    <w:autoRedefine/>
    <w:unhideWhenUsed/>
    <w:qFormat/>
    <w:uiPriority w:val="99"/>
    <w:pPr>
      <w:spacing w:after="120"/>
      <w:ind w:left="420" w:leftChars="200"/>
    </w:pPr>
    <w:rPr>
      <w:rFonts w:ascii="Calibri" w:hAnsi="Calibri"/>
      <w:kern w:val="2"/>
      <w:sz w:val="21"/>
      <w:szCs w:val="22"/>
    </w:rPr>
  </w:style>
  <w:style w:type="paragraph" w:styleId="8">
    <w:name w:val="envelope return"/>
    <w:basedOn w:val="1"/>
    <w:autoRedefine/>
    <w:qFormat/>
    <w:uiPriority w:val="99"/>
    <w:rPr>
      <w:rFonts w:ascii="Arial" w:hAnsi="Arial" w:cs="Arial"/>
      <w:kern w:val="1"/>
    </w:rPr>
  </w:style>
  <w:style w:type="paragraph" w:styleId="9">
    <w:name w:val="Plain Text"/>
    <w:basedOn w:val="1"/>
    <w:autoRedefine/>
    <w:qFormat/>
    <w:uiPriority w:val="0"/>
    <w:rPr>
      <w:rFonts w:hAnsi="Courier New"/>
      <w:szCs w:val="22"/>
    </w:rPr>
  </w:style>
  <w:style w:type="paragraph" w:styleId="10">
    <w:name w:val="Date"/>
    <w:basedOn w:val="1"/>
    <w:next w:val="1"/>
    <w:autoRedefine/>
    <w:qFormat/>
    <w:uiPriority w:val="0"/>
    <w:pPr>
      <w:ind w:left="2500" w:leftChars="2500"/>
    </w:pPr>
    <w:rPr>
      <w:rFonts w:ascii="Times New Roman" w:hAnsi="Times New Roman"/>
    </w:rPr>
  </w:style>
  <w:style w:type="paragraph" w:styleId="11">
    <w:name w:val="Balloon Text"/>
    <w:basedOn w:val="1"/>
    <w:link w:val="45"/>
    <w:autoRedefine/>
    <w:qFormat/>
    <w:uiPriority w:val="0"/>
    <w:rPr>
      <w:sz w:val="18"/>
      <w:szCs w:val="18"/>
    </w:rPr>
  </w:style>
  <w:style w:type="paragraph" w:styleId="12">
    <w:name w:val="footer"/>
    <w:basedOn w:val="1"/>
    <w:autoRedefine/>
    <w:unhideWhenUsed/>
    <w:qFormat/>
    <w:uiPriority w:val="99"/>
    <w:pPr>
      <w:tabs>
        <w:tab w:val="center" w:pos="4153"/>
        <w:tab w:val="right" w:pos="8306"/>
      </w:tabs>
      <w:snapToGrid w:val="0"/>
      <w:jc w:val="left"/>
    </w:pPr>
    <w:rPr>
      <w:sz w:val="18"/>
      <w:szCs w:val="18"/>
    </w:rPr>
  </w:style>
  <w:style w:type="paragraph" w:styleId="13">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qFormat/>
    <w:uiPriority w:val="0"/>
  </w:style>
  <w:style w:type="paragraph" w:styleId="15">
    <w:name w:val="List"/>
    <w:basedOn w:val="1"/>
    <w:autoRedefine/>
    <w:qFormat/>
    <w:uiPriority w:val="0"/>
    <w:pPr>
      <w:ind w:left="420" w:hanging="420"/>
    </w:pPr>
    <w:rPr>
      <w:rFonts w:ascii="Arial" w:hAnsi="Arial" w:eastAsia="楷体_GB2312"/>
      <w:sz w:val="28"/>
    </w:rPr>
  </w:style>
  <w:style w:type="paragraph" w:styleId="16">
    <w:name w:val="footnote text"/>
    <w:basedOn w:val="1"/>
    <w:autoRedefine/>
    <w:unhideWhenUsed/>
    <w:qFormat/>
    <w:uiPriority w:val="0"/>
    <w:pPr>
      <w:snapToGrid w:val="0"/>
      <w:jc w:val="left"/>
    </w:pPr>
    <w:rPr>
      <w:rFonts w:ascii="Times New Roman" w:hAnsi="Times New Roman"/>
      <w:kern w:val="2"/>
      <w:sz w:val="18"/>
      <w:szCs w:val="18"/>
      <w:lang w:val="zh-CN"/>
    </w:rPr>
  </w:style>
  <w:style w:type="paragraph" w:styleId="17">
    <w:name w:val="toc 2"/>
    <w:basedOn w:val="1"/>
    <w:next w:val="1"/>
    <w:autoRedefine/>
    <w:unhideWhenUsed/>
    <w:qFormat/>
    <w:uiPriority w:val="39"/>
    <w:pPr>
      <w:widowControl/>
      <w:spacing w:after="100" w:line="276" w:lineRule="auto"/>
      <w:ind w:left="220"/>
      <w:jc w:val="left"/>
    </w:pPr>
    <w:rPr>
      <w:rFonts w:ascii="Calibri" w:hAnsi="Calibri"/>
      <w:sz w:val="22"/>
      <w:szCs w:val="22"/>
    </w:rPr>
  </w:style>
  <w:style w:type="paragraph" w:styleId="18">
    <w:name w:val="Normal (Web)"/>
    <w:basedOn w:val="1"/>
    <w:autoRedefine/>
    <w:qFormat/>
    <w:uiPriority w:val="0"/>
    <w:pPr>
      <w:widowControl/>
      <w:spacing w:before="100" w:beforeAutospacing="1" w:after="100" w:afterAutospacing="1"/>
      <w:jc w:val="left"/>
    </w:pPr>
    <w:rPr>
      <w:rFonts w:cs="宋体"/>
      <w:color w:val="0066CC"/>
      <w:sz w:val="24"/>
      <w:szCs w:val="24"/>
    </w:rPr>
  </w:style>
  <w:style w:type="paragraph" w:styleId="19">
    <w:name w:val="annotation subject"/>
    <w:basedOn w:val="5"/>
    <w:next w:val="5"/>
    <w:link w:val="47"/>
    <w:autoRedefine/>
    <w:qFormat/>
    <w:uiPriority w:val="0"/>
    <w:rPr>
      <w:b/>
      <w:bCs/>
    </w:rPr>
  </w:style>
  <w:style w:type="paragraph" w:styleId="20">
    <w:name w:val="Body Text First Indent"/>
    <w:basedOn w:val="6"/>
    <w:autoRedefine/>
    <w:unhideWhenUsed/>
    <w:qFormat/>
    <w:uiPriority w:val="99"/>
    <w:pPr>
      <w:ind w:firstLine="420" w:firstLineChars="100"/>
    </w:pPr>
  </w:style>
  <w:style w:type="paragraph" w:styleId="21">
    <w:name w:val="Body Text First Indent 2"/>
    <w:basedOn w:val="7"/>
    <w:next w:val="15"/>
    <w:autoRedefine/>
    <w:unhideWhenUsed/>
    <w:qFormat/>
    <w:uiPriority w:val="0"/>
    <w:pPr>
      <w:ind w:firstLine="420" w:firstLineChars="200"/>
    </w:pPr>
  </w:style>
  <w:style w:type="character" w:styleId="24">
    <w:name w:val="Strong"/>
    <w:autoRedefine/>
    <w:qFormat/>
    <w:uiPriority w:val="0"/>
    <w:rPr>
      <w:b/>
      <w:bCs/>
    </w:rPr>
  </w:style>
  <w:style w:type="character" w:styleId="25">
    <w:name w:val="FollowedHyperlink"/>
    <w:basedOn w:val="23"/>
    <w:autoRedefine/>
    <w:qFormat/>
    <w:uiPriority w:val="0"/>
    <w:rPr>
      <w:color w:val="333333"/>
      <w:u w:val="none"/>
    </w:rPr>
  </w:style>
  <w:style w:type="character" w:styleId="26">
    <w:name w:val="Emphasis"/>
    <w:basedOn w:val="23"/>
    <w:autoRedefine/>
    <w:qFormat/>
    <w:uiPriority w:val="0"/>
  </w:style>
  <w:style w:type="character" w:styleId="27">
    <w:name w:val="HTML Definition"/>
    <w:basedOn w:val="23"/>
    <w:autoRedefine/>
    <w:qFormat/>
    <w:uiPriority w:val="0"/>
  </w:style>
  <w:style w:type="character" w:styleId="28">
    <w:name w:val="HTML Typewriter"/>
    <w:basedOn w:val="23"/>
    <w:autoRedefine/>
    <w:qFormat/>
    <w:uiPriority w:val="0"/>
    <w:rPr>
      <w:rFonts w:ascii="monospace" w:hAnsi="monospace" w:eastAsia="monospace" w:cs="monospace"/>
      <w:sz w:val="20"/>
    </w:rPr>
  </w:style>
  <w:style w:type="character" w:styleId="29">
    <w:name w:val="HTML Acronym"/>
    <w:basedOn w:val="23"/>
    <w:autoRedefine/>
    <w:qFormat/>
    <w:uiPriority w:val="0"/>
  </w:style>
  <w:style w:type="character" w:styleId="30">
    <w:name w:val="HTML Variable"/>
    <w:basedOn w:val="23"/>
    <w:autoRedefine/>
    <w:qFormat/>
    <w:uiPriority w:val="0"/>
  </w:style>
  <w:style w:type="character" w:styleId="31">
    <w:name w:val="Hyperlink"/>
    <w:basedOn w:val="23"/>
    <w:autoRedefine/>
    <w:unhideWhenUsed/>
    <w:qFormat/>
    <w:uiPriority w:val="99"/>
    <w:rPr>
      <w:color w:val="0563C1"/>
      <w:u w:val="single"/>
    </w:rPr>
  </w:style>
  <w:style w:type="character" w:styleId="32">
    <w:name w:val="HTML Code"/>
    <w:basedOn w:val="23"/>
    <w:autoRedefine/>
    <w:qFormat/>
    <w:uiPriority w:val="0"/>
    <w:rPr>
      <w:rFonts w:hint="default" w:ascii="monospace" w:hAnsi="monospace" w:eastAsia="monospace" w:cs="monospace"/>
      <w:sz w:val="20"/>
    </w:rPr>
  </w:style>
  <w:style w:type="character" w:styleId="33">
    <w:name w:val="annotation reference"/>
    <w:basedOn w:val="23"/>
    <w:autoRedefine/>
    <w:unhideWhenUsed/>
    <w:qFormat/>
    <w:uiPriority w:val="0"/>
    <w:rPr>
      <w:sz w:val="21"/>
      <w:szCs w:val="21"/>
    </w:rPr>
  </w:style>
  <w:style w:type="character" w:styleId="34">
    <w:name w:val="HTML Cite"/>
    <w:basedOn w:val="23"/>
    <w:autoRedefine/>
    <w:qFormat/>
    <w:uiPriority w:val="0"/>
  </w:style>
  <w:style w:type="character" w:styleId="35">
    <w:name w:val="footnote reference"/>
    <w:autoRedefine/>
    <w:unhideWhenUsed/>
    <w:qFormat/>
    <w:uiPriority w:val="0"/>
    <w:rPr>
      <w:vertAlign w:val="superscript"/>
    </w:rPr>
  </w:style>
  <w:style w:type="character" w:styleId="36">
    <w:name w:val="HTML Keyboard"/>
    <w:basedOn w:val="23"/>
    <w:autoRedefine/>
    <w:qFormat/>
    <w:uiPriority w:val="0"/>
    <w:rPr>
      <w:rFonts w:hint="default" w:ascii="monospace" w:hAnsi="monospace" w:eastAsia="monospace" w:cs="monospace"/>
      <w:sz w:val="20"/>
    </w:rPr>
  </w:style>
  <w:style w:type="character" w:styleId="37">
    <w:name w:val="HTML Sample"/>
    <w:basedOn w:val="23"/>
    <w:autoRedefine/>
    <w:qFormat/>
    <w:uiPriority w:val="0"/>
    <w:rPr>
      <w:rFonts w:hint="default" w:ascii="monospace" w:hAnsi="monospace" w:eastAsia="monospace" w:cs="monospace"/>
    </w:rPr>
  </w:style>
  <w:style w:type="paragraph" w:customStyle="1" w:styleId="38">
    <w:name w:val="正文格式"/>
    <w:basedOn w:val="1"/>
    <w:autoRedefine/>
    <w:qFormat/>
    <w:uiPriority w:val="0"/>
    <w:rPr>
      <w:sz w:val="28"/>
      <w:szCs w:val="24"/>
    </w:rPr>
  </w:style>
  <w:style w:type="paragraph" w:customStyle="1" w:styleId="39">
    <w:name w:val="xl31"/>
    <w:basedOn w:val="1"/>
    <w:autoRedefine/>
    <w:qFormat/>
    <w:uiPriority w:val="0"/>
    <w:pPr>
      <w:widowControl/>
      <w:spacing w:before="100" w:beforeAutospacing="1" w:after="100" w:afterAutospacing="1"/>
      <w:jc w:val="center"/>
    </w:pPr>
    <w:rPr>
      <w:b/>
      <w:bCs/>
      <w:sz w:val="28"/>
      <w:szCs w:val="28"/>
    </w:rPr>
  </w:style>
  <w:style w:type="paragraph" w:customStyle="1" w:styleId="40">
    <w:name w:val="D&amp;L"/>
    <w:basedOn w:val="13"/>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1">
    <w:name w:val="普通 (Web)"/>
    <w:basedOn w:val="1"/>
    <w:autoRedefine/>
    <w:qFormat/>
    <w:uiPriority w:val="0"/>
    <w:pPr>
      <w:widowControl/>
      <w:spacing w:before="100" w:beforeAutospacing="1" w:after="100" w:afterAutospacing="1"/>
      <w:jc w:val="left"/>
    </w:pPr>
    <w:rPr>
      <w:sz w:val="24"/>
      <w:szCs w:val="24"/>
    </w:rPr>
  </w:style>
  <w:style w:type="paragraph" w:customStyle="1" w:styleId="42">
    <w:name w:val="Table Paragraph"/>
    <w:basedOn w:val="1"/>
    <w:next w:val="1"/>
    <w:autoRedefine/>
    <w:qFormat/>
    <w:uiPriority w:val="1"/>
    <w:rPr>
      <w:rFonts w:cs="宋体"/>
      <w:lang w:val="zh-CN" w:bidi="zh-CN"/>
    </w:rPr>
  </w:style>
  <w:style w:type="table" w:customStyle="1" w:styleId="43">
    <w:name w:val="网格型2"/>
    <w:basedOn w:val="22"/>
    <w:autoRedefine/>
    <w:unhideWhenUsed/>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44">
    <w:name w:val="List Paragraph"/>
    <w:basedOn w:val="1"/>
    <w:autoRedefine/>
    <w:qFormat/>
    <w:uiPriority w:val="34"/>
    <w:pPr>
      <w:numPr>
        <w:ilvl w:val="0"/>
        <w:numId w:val="1"/>
      </w:numPr>
      <w:spacing w:line="360" w:lineRule="auto"/>
    </w:pPr>
  </w:style>
  <w:style w:type="character" w:customStyle="1" w:styleId="45">
    <w:name w:val="批注框文本 字符"/>
    <w:basedOn w:val="23"/>
    <w:link w:val="11"/>
    <w:autoRedefine/>
    <w:qFormat/>
    <w:uiPriority w:val="0"/>
    <w:rPr>
      <w:rFonts w:ascii="宋体" w:hAnsi="宋体"/>
      <w:sz w:val="18"/>
      <w:szCs w:val="18"/>
    </w:rPr>
  </w:style>
  <w:style w:type="character" w:customStyle="1" w:styleId="46">
    <w:name w:val="批注文字 字符"/>
    <w:basedOn w:val="23"/>
    <w:link w:val="5"/>
    <w:autoRedefine/>
    <w:qFormat/>
    <w:uiPriority w:val="0"/>
    <w:rPr>
      <w:rFonts w:ascii="宋体" w:hAnsi="宋体"/>
    </w:rPr>
  </w:style>
  <w:style w:type="character" w:customStyle="1" w:styleId="47">
    <w:name w:val="批注主题 字符"/>
    <w:basedOn w:val="46"/>
    <w:link w:val="19"/>
    <w:autoRedefine/>
    <w:qFormat/>
    <w:uiPriority w:val="0"/>
    <w:rPr>
      <w:rFonts w:ascii="宋体" w:hAnsi="宋体"/>
      <w:b/>
      <w:bCs/>
    </w:rPr>
  </w:style>
  <w:style w:type="paragraph" w:customStyle="1" w:styleId="48">
    <w:name w:val="修订1"/>
    <w:autoRedefine/>
    <w:hidden/>
    <w:semiHidden/>
    <w:qFormat/>
    <w:uiPriority w:val="99"/>
    <w:rPr>
      <w:rFonts w:ascii="宋体" w:hAnsi="宋体" w:eastAsia="宋体" w:cs="Times New Roman"/>
      <w:lang w:val="en-US" w:eastAsia="zh-CN" w:bidi="ar-SA"/>
    </w:rPr>
  </w:style>
  <w:style w:type="character" w:customStyle="1" w:styleId="49">
    <w:name w:val="正文文本缩进 字符"/>
    <w:basedOn w:val="23"/>
    <w:link w:val="7"/>
    <w:autoRedefine/>
    <w:qFormat/>
    <w:uiPriority w:val="99"/>
    <w:rPr>
      <w:rFonts w:ascii="Calibri" w:hAnsi="Calibri"/>
      <w:kern w:val="2"/>
      <w:sz w:val="21"/>
      <w:szCs w:val="22"/>
    </w:rPr>
  </w:style>
  <w:style w:type="character" w:customStyle="1" w:styleId="50">
    <w:name w:val="NormalCharacter"/>
    <w:autoRedefine/>
    <w:qFormat/>
    <w:uiPriority w:val="0"/>
    <w:rPr>
      <w:rFonts w:ascii="Calibri" w:hAnsi="Calibri"/>
      <w:kern w:val="2"/>
      <w:sz w:val="21"/>
      <w:szCs w:val="22"/>
      <w:lang w:val="en-US" w:eastAsia="zh-CN" w:bidi="ar-SA"/>
    </w:rPr>
  </w:style>
  <w:style w:type="paragraph" w:customStyle="1" w:styleId="51">
    <w:name w:val="五级目录"/>
    <w:basedOn w:val="1"/>
    <w:autoRedefine/>
    <w:qFormat/>
    <w:uiPriority w:val="0"/>
    <w:pPr>
      <w:ind w:left="150" w:leftChars="150"/>
      <w:outlineLvl w:val="4"/>
    </w:pPr>
    <w:rPr>
      <w:rFonts w:ascii="黑体" w:hAnsi="Times New Roman"/>
      <w:szCs w:val="28"/>
    </w:rPr>
  </w:style>
  <w:style w:type="table" w:customStyle="1" w:styleId="52">
    <w:name w:val="Table Normal"/>
    <w:autoRedefine/>
    <w:semiHidden/>
    <w:unhideWhenUsed/>
    <w:qFormat/>
    <w:uiPriority w:val="0"/>
    <w:rPr>
      <w:rFonts w:ascii="Arial" w:hAnsi="Arial" w:cs="Arial"/>
      <w:snapToGrid w:val="0"/>
      <w:color w:val="000000"/>
      <w:kern w:val="0"/>
      <w:szCs w:val="21"/>
      <w:lang w:eastAsia="en-US"/>
    </w:rPr>
    <w:tblPr>
      <w:tblCellMar>
        <w:top w:w="0" w:type="dxa"/>
        <w:left w:w="0" w:type="dxa"/>
        <w:bottom w:w="0" w:type="dxa"/>
        <w:right w:w="0" w:type="dxa"/>
      </w:tblCellMar>
    </w:tblPr>
  </w:style>
  <w:style w:type="paragraph" w:customStyle="1" w:styleId="53">
    <w:name w:val="Table Text"/>
    <w:basedOn w:val="1"/>
    <w:autoRedefine/>
    <w:semiHidden/>
    <w:qFormat/>
    <w:uiPriority w:val="0"/>
    <w:rPr>
      <w:rFonts w:ascii="宋体" w:hAnsi="宋体" w:eastAsia="宋体" w:cs="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49</Pages>
  <Words>18350</Words>
  <Characters>19802</Characters>
  <Lines>144</Lines>
  <Paragraphs>40</Paragraphs>
  <TotalTime>1</TotalTime>
  <ScaleCrop>false</ScaleCrop>
  <LinksUpToDate>false</LinksUpToDate>
  <CharactersWithSpaces>20467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2023-11-09T07:46:00Z</dcterms:created>
  <dc:creator>admin</dc:creator>
  <cp:lastModifiedBy>随心1403883611</cp:lastModifiedBy>
  <cp:lastPrinted>2025-09-12T02:26:00Z</cp:lastPrinted>
  <dcterms:modified xsi:type="dcterms:W3CDTF">2025-09-28T08:07:56Z</dcterms:modified>
  <cp:revision>167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92853987FD4C494E92F9E63BEA962D41_13</vt:lpwstr>
  </property>
  <property fmtid="{D5CDD505-2E9C-101B-9397-08002B2CF9AE}" pid="4" name="KSOTemplateDocerSaveRecord">
    <vt:lpwstr>eyJoZGlkIjoiZGE1ODU5ZTc0NGI0M2EzYzU0NmFjZmJjNDVhZjY4ZTMiLCJ1c2VySWQiOiIxNzgwNjI3MSJ9</vt:lpwstr>
  </property>
</Properties>
</file>